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theme/themeOverride1.xml" ContentType="application/vnd.openxmlformats-officedocument.themeOverride+xml"/>
  <Override PartName="/word/drawings/drawing6.xml" ContentType="application/vnd.openxmlformats-officedocument.drawingml.chartshapes+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A6A" w:rsidRPr="00116A6A" w:rsidRDefault="00C70C0B" w:rsidP="00116A6A">
      <w:pPr>
        <w:bidi/>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fr-FR"/>
        </w:rPr>
        <w:drawing>
          <wp:anchor distT="0" distB="0" distL="114300" distR="114300" simplePos="0" relativeHeight="251697152" behindDoc="1" locked="0" layoutInCell="1" allowOverlap="1">
            <wp:simplePos x="0" y="0"/>
            <wp:positionH relativeFrom="margin">
              <wp:posOffset>5186045</wp:posOffset>
            </wp:positionH>
            <wp:positionV relativeFrom="margin">
              <wp:posOffset>108585</wp:posOffset>
            </wp:positionV>
            <wp:extent cx="1143000" cy="1038225"/>
            <wp:effectExtent l="19050" t="0" r="0" b="0"/>
            <wp:wrapNone/>
            <wp:docPr id="648" name="Image 3" descr="http://e-learning.univ-tebessa.dz/file.php/1/ses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e-learning.univ-tebessa.dz/file.php/1/sesnv.png"/>
                    <pic:cNvPicPr>
                      <a:picLocks noChangeAspect="1" noChangeArrowheads="1"/>
                    </pic:cNvPicPr>
                  </pic:nvPicPr>
                  <pic:blipFill>
                    <a:blip r:embed="rId8" r:link="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038225"/>
                    </a:xfrm>
                    <a:prstGeom prst="rect">
                      <a:avLst/>
                    </a:prstGeom>
                    <a:noFill/>
                    <a:ln>
                      <a:noFill/>
                    </a:ln>
                  </pic:spPr>
                </pic:pic>
              </a:graphicData>
            </a:graphic>
          </wp:anchor>
        </w:drawing>
      </w:r>
    </w:p>
    <w:p w:rsidR="0000215C" w:rsidRPr="0000215C" w:rsidRDefault="0000215C" w:rsidP="0000215C">
      <w:pPr>
        <w:spacing w:line="360" w:lineRule="auto"/>
        <w:jc w:val="center"/>
        <w:rPr>
          <w:rFonts w:asciiTheme="majorBidi" w:hAnsiTheme="majorBidi" w:cstheme="majorBidi"/>
          <w:b/>
          <w:bCs/>
          <w:rtl/>
          <w:lang w:bidi="ar-DZ"/>
        </w:rPr>
      </w:pPr>
      <w:r w:rsidRPr="0000215C">
        <w:rPr>
          <w:rFonts w:asciiTheme="majorBidi" w:hAnsiTheme="majorBidi" w:cstheme="majorBidi"/>
          <w:noProof/>
          <w:lang w:eastAsia="fr-FR"/>
        </w:rPr>
        <w:drawing>
          <wp:anchor distT="0" distB="0" distL="114300" distR="114300" simplePos="0" relativeHeight="251698176" behindDoc="0" locked="0" layoutInCell="1" allowOverlap="1">
            <wp:simplePos x="0" y="0"/>
            <wp:positionH relativeFrom="column">
              <wp:posOffset>-166370</wp:posOffset>
            </wp:positionH>
            <wp:positionV relativeFrom="paragraph">
              <wp:posOffset>-13970</wp:posOffset>
            </wp:positionV>
            <wp:extent cx="832485" cy="952500"/>
            <wp:effectExtent l="0" t="0" r="0" b="0"/>
            <wp:wrapNone/>
            <wp:docPr id="64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2485" cy="952500"/>
                    </a:xfrm>
                    <a:prstGeom prst="rect">
                      <a:avLst/>
                    </a:prstGeom>
                    <a:noFill/>
                    <a:ln>
                      <a:noFill/>
                    </a:ln>
                  </pic:spPr>
                </pic:pic>
              </a:graphicData>
            </a:graphic>
          </wp:anchor>
        </w:drawing>
      </w:r>
      <w:r w:rsidRPr="0000215C">
        <w:rPr>
          <w:rFonts w:asciiTheme="majorBidi" w:hAnsiTheme="majorBidi" w:cstheme="majorBidi"/>
          <w:b/>
          <w:bCs/>
        </w:rPr>
        <w:t xml:space="preserve">     République Algérienne Démocratique et Populaire</w:t>
      </w:r>
    </w:p>
    <w:p w:rsidR="0000215C" w:rsidRPr="0000215C" w:rsidRDefault="0000215C" w:rsidP="0000215C">
      <w:pPr>
        <w:spacing w:line="360" w:lineRule="auto"/>
        <w:jc w:val="center"/>
        <w:rPr>
          <w:rFonts w:asciiTheme="majorBidi" w:hAnsiTheme="majorBidi" w:cstheme="majorBidi"/>
          <w:b/>
          <w:bCs/>
        </w:rPr>
      </w:pPr>
      <w:r w:rsidRPr="0000215C">
        <w:rPr>
          <w:rFonts w:asciiTheme="majorBidi" w:hAnsiTheme="majorBidi" w:cstheme="majorBidi"/>
          <w:b/>
          <w:bCs/>
        </w:rPr>
        <w:t xml:space="preserve">    Ministère de l’Enseignement Supérieur et de la Recherche Scientifique</w:t>
      </w:r>
    </w:p>
    <w:p w:rsidR="0000215C" w:rsidRPr="0000215C" w:rsidRDefault="0000215C" w:rsidP="0000215C">
      <w:pPr>
        <w:spacing w:line="240" w:lineRule="auto"/>
        <w:jc w:val="center"/>
        <w:rPr>
          <w:rFonts w:asciiTheme="majorBidi" w:hAnsiTheme="majorBidi" w:cstheme="majorBidi"/>
        </w:rPr>
      </w:pPr>
      <w:r w:rsidRPr="0000215C">
        <w:rPr>
          <w:rFonts w:asciiTheme="majorBidi" w:hAnsiTheme="majorBidi" w:cstheme="majorBidi"/>
        </w:rPr>
        <w:t xml:space="preserve">     Université Larbi Tébessi.  T</w:t>
      </w:r>
      <w:r w:rsidRPr="0000215C">
        <w:rPr>
          <w:rFonts w:asciiTheme="majorBidi" w:hAnsiTheme="majorBidi" w:cstheme="majorBidi"/>
          <w:rtl/>
        </w:rPr>
        <w:t>é</w:t>
      </w:r>
      <w:r w:rsidRPr="0000215C">
        <w:rPr>
          <w:rFonts w:asciiTheme="majorBidi" w:hAnsiTheme="majorBidi" w:cstheme="majorBidi"/>
        </w:rPr>
        <w:t>bessa</w:t>
      </w:r>
    </w:p>
    <w:p w:rsidR="0000215C" w:rsidRPr="0000215C" w:rsidRDefault="0000215C" w:rsidP="0000215C">
      <w:pPr>
        <w:spacing w:line="240" w:lineRule="auto"/>
        <w:jc w:val="center"/>
        <w:rPr>
          <w:rFonts w:asciiTheme="majorBidi" w:hAnsiTheme="majorBidi" w:cstheme="majorBidi"/>
        </w:rPr>
      </w:pPr>
      <w:r w:rsidRPr="0000215C">
        <w:rPr>
          <w:rFonts w:asciiTheme="majorBidi" w:hAnsiTheme="majorBidi" w:cstheme="majorBidi"/>
        </w:rPr>
        <w:t>Faculté des sciences exactes et des sciences de la nature et de la vie</w:t>
      </w:r>
    </w:p>
    <w:p w:rsidR="0000215C" w:rsidRPr="0000215C" w:rsidRDefault="0000215C" w:rsidP="0000215C">
      <w:pPr>
        <w:spacing w:line="240" w:lineRule="auto"/>
        <w:jc w:val="center"/>
        <w:rPr>
          <w:rFonts w:asciiTheme="majorBidi" w:hAnsiTheme="majorBidi" w:cstheme="majorBidi"/>
          <w:lang w:bidi="ar-DZ"/>
        </w:rPr>
      </w:pPr>
      <w:r w:rsidRPr="0000215C">
        <w:rPr>
          <w:rFonts w:asciiTheme="majorBidi" w:hAnsiTheme="majorBidi" w:cstheme="majorBidi"/>
        </w:rPr>
        <w:t xml:space="preserve">      Département de Biologie appliquée</w:t>
      </w:r>
    </w:p>
    <w:p w:rsidR="0000215C" w:rsidRPr="0000215C" w:rsidRDefault="0000215C" w:rsidP="0000215C">
      <w:pPr>
        <w:jc w:val="center"/>
        <w:rPr>
          <w:rFonts w:asciiTheme="majorBidi" w:hAnsiTheme="majorBidi" w:cstheme="majorBidi"/>
          <w:b/>
          <w:bCs/>
          <w:sz w:val="28"/>
          <w:szCs w:val="28"/>
        </w:rPr>
      </w:pPr>
      <w:r w:rsidRPr="0000215C">
        <w:rPr>
          <w:rFonts w:asciiTheme="majorBidi" w:hAnsiTheme="majorBidi" w:cstheme="majorBidi"/>
          <w:b/>
          <w:bCs/>
          <w:sz w:val="28"/>
          <w:szCs w:val="28"/>
        </w:rPr>
        <w:t>MEMOIRE</w:t>
      </w:r>
    </w:p>
    <w:p w:rsidR="0000215C" w:rsidRPr="0000215C" w:rsidRDefault="0000215C" w:rsidP="0000215C">
      <w:pPr>
        <w:jc w:val="center"/>
        <w:rPr>
          <w:rFonts w:asciiTheme="majorBidi" w:hAnsiTheme="majorBidi" w:cstheme="majorBidi"/>
          <w:sz w:val="28"/>
          <w:szCs w:val="28"/>
        </w:rPr>
      </w:pPr>
      <w:r w:rsidRPr="0000215C">
        <w:rPr>
          <w:rFonts w:asciiTheme="majorBidi" w:hAnsiTheme="majorBidi" w:cstheme="majorBidi"/>
          <w:sz w:val="28"/>
          <w:szCs w:val="28"/>
        </w:rPr>
        <w:t>Présenté en vue de l’obtention du diplôme de MASTER</w:t>
      </w:r>
    </w:p>
    <w:p w:rsidR="0000215C" w:rsidRPr="0000215C" w:rsidRDefault="0000215C" w:rsidP="0000215C">
      <w:pPr>
        <w:jc w:val="center"/>
        <w:rPr>
          <w:rFonts w:asciiTheme="majorBidi" w:hAnsiTheme="majorBidi" w:cstheme="majorBidi"/>
          <w:sz w:val="28"/>
          <w:szCs w:val="28"/>
        </w:rPr>
      </w:pPr>
      <w:r w:rsidRPr="0000215C">
        <w:rPr>
          <w:rFonts w:asciiTheme="majorBidi" w:hAnsiTheme="majorBidi" w:cstheme="majorBidi"/>
          <w:b/>
          <w:bCs/>
          <w:i/>
          <w:iCs/>
          <w:sz w:val="28"/>
          <w:szCs w:val="28"/>
        </w:rPr>
        <w:t>Domaine</w:t>
      </w:r>
      <w:r w:rsidRPr="0000215C">
        <w:rPr>
          <w:rFonts w:asciiTheme="majorBidi" w:hAnsiTheme="majorBidi" w:cstheme="majorBidi"/>
          <w:i/>
          <w:iCs/>
          <w:sz w:val="28"/>
          <w:szCs w:val="28"/>
          <w:lang w:bidi="ar-DZ"/>
        </w:rPr>
        <w:t>:</w:t>
      </w:r>
      <w:r w:rsidRPr="0000215C">
        <w:rPr>
          <w:rFonts w:asciiTheme="majorBidi" w:hAnsiTheme="majorBidi" w:cstheme="majorBidi"/>
          <w:sz w:val="28"/>
          <w:szCs w:val="28"/>
        </w:rPr>
        <w:t xml:space="preserve"> Sciences de la nature et de la vie</w:t>
      </w:r>
    </w:p>
    <w:p w:rsidR="0000215C" w:rsidRPr="0000215C" w:rsidRDefault="0000215C" w:rsidP="0000215C">
      <w:pPr>
        <w:jc w:val="center"/>
        <w:rPr>
          <w:rFonts w:asciiTheme="majorBidi" w:hAnsiTheme="majorBidi" w:cstheme="majorBidi"/>
          <w:sz w:val="28"/>
          <w:szCs w:val="28"/>
        </w:rPr>
      </w:pPr>
      <w:r w:rsidRPr="0000215C">
        <w:rPr>
          <w:rFonts w:asciiTheme="majorBidi" w:hAnsiTheme="majorBidi" w:cstheme="majorBidi"/>
          <w:b/>
          <w:bCs/>
          <w:i/>
          <w:iCs/>
          <w:sz w:val="28"/>
          <w:szCs w:val="28"/>
        </w:rPr>
        <w:t>Filière:</w:t>
      </w:r>
      <w:r w:rsidRPr="0000215C">
        <w:rPr>
          <w:rFonts w:asciiTheme="majorBidi" w:hAnsiTheme="majorBidi" w:cstheme="majorBidi"/>
          <w:sz w:val="28"/>
          <w:szCs w:val="28"/>
        </w:rPr>
        <w:t xml:space="preserve"> Sciences biologiques  </w:t>
      </w:r>
    </w:p>
    <w:p w:rsidR="0000215C" w:rsidRPr="0000215C" w:rsidRDefault="0000215C" w:rsidP="0000215C">
      <w:pPr>
        <w:jc w:val="center"/>
        <w:rPr>
          <w:rFonts w:asciiTheme="majorBidi" w:hAnsiTheme="majorBidi" w:cstheme="majorBidi"/>
          <w:sz w:val="28"/>
          <w:szCs w:val="28"/>
        </w:rPr>
      </w:pPr>
      <w:r w:rsidRPr="0000215C">
        <w:rPr>
          <w:rFonts w:asciiTheme="majorBidi" w:hAnsiTheme="majorBidi" w:cstheme="majorBidi"/>
          <w:b/>
          <w:bCs/>
          <w:sz w:val="28"/>
          <w:szCs w:val="28"/>
        </w:rPr>
        <w:t>Spécialité :</w:t>
      </w:r>
      <w:r w:rsidRPr="0000215C">
        <w:rPr>
          <w:rFonts w:asciiTheme="majorBidi" w:hAnsiTheme="majorBidi" w:cstheme="majorBidi"/>
          <w:sz w:val="28"/>
          <w:szCs w:val="28"/>
        </w:rPr>
        <w:t xml:space="preserve"> Biochimie et Biologie Moléculaire</w:t>
      </w:r>
    </w:p>
    <w:p w:rsidR="0000215C" w:rsidRPr="0000215C" w:rsidRDefault="0000215C" w:rsidP="0000215C">
      <w:pPr>
        <w:jc w:val="right"/>
        <w:rPr>
          <w:rFonts w:asciiTheme="majorBidi" w:hAnsiTheme="majorBidi" w:cstheme="majorBidi"/>
          <w:sz w:val="28"/>
          <w:szCs w:val="28"/>
        </w:rPr>
      </w:pPr>
    </w:p>
    <w:p w:rsidR="0000215C" w:rsidRPr="0000215C" w:rsidRDefault="0000215C" w:rsidP="0000215C">
      <w:pPr>
        <w:jc w:val="center"/>
        <w:rPr>
          <w:rFonts w:asciiTheme="majorBidi" w:hAnsiTheme="majorBidi" w:cstheme="majorBidi"/>
          <w:b/>
          <w:bCs/>
          <w:i/>
          <w:iCs/>
          <w:sz w:val="32"/>
          <w:szCs w:val="32"/>
        </w:rPr>
      </w:pPr>
      <w:r w:rsidRPr="0000215C">
        <w:rPr>
          <w:rFonts w:asciiTheme="majorBidi" w:hAnsiTheme="majorBidi" w:cstheme="majorBidi"/>
          <w:b/>
          <w:bCs/>
          <w:i/>
          <w:iCs/>
          <w:sz w:val="32"/>
          <w:szCs w:val="32"/>
        </w:rPr>
        <w:t>Thème:</w:t>
      </w:r>
    </w:p>
    <w:p w:rsidR="0000215C" w:rsidRPr="0000215C" w:rsidRDefault="00824C86" w:rsidP="0000215C">
      <w:pPr>
        <w:jc w:val="center"/>
        <w:rPr>
          <w:rFonts w:asciiTheme="majorBidi" w:hAnsiTheme="majorBidi" w:cstheme="majorBidi"/>
          <w:sz w:val="32"/>
          <w:szCs w:val="32"/>
        </w:rPr>
      </w:pPr>
      <w:r w:rsidRPr="00824C86">
        <w:rPr>
          <w:rFonts w:asciiTheme="majorBidi" w:hAnsiTheme="majorBidi" w:cstheme="majorBidi"/>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650" o:spid="_x0000_s1026" type="#_x0000_t176" style="position:absolute;left:0;text-align:left;margin-left:11.65pt;margin-top:3.55pt;width:426pt;height:13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">
            <v:shadow on="t" type="perspective" opacity=".5" origin="-.5,-.5" offset="-6pt,-6pt" matrix=".75,,,.75"/>
            <v:textbox>
              <w:txbxContent>
                <w:p w:rsidR="006205BC" w:rsidRPr="00860EC0" w:rsidRDefault="006205BC" w:rsidP="0000215C">
                  <w:pPr>
                    <w:jc w:val="center"/>
                    <w:rPr>
                      <w:rFonts w:asciiTheme="majorBidi" w:hAnsiTheme="majorBidi"/>
                      <w:b/>
                      <w:bCs/>
                      <w:i/>
                      <w:iCs/>
                      <w:color w:val="7030A0"/>
                      <w:sz w:val="48"/>
                      <w:szCs w:val="48"/>
                    </w:rPr>
                  </w:pPr>
                  <w:r w:rsidRPr="00860EC0">
                    <w:rPr>
                      <w:rFonts w:asciiTheme="majorBidi" w:hAnsiTheme="majorBidi"/>
                      <w:b/>
                      <w:bCs/>
                      <w:i/>
                      <w:iCs/>
                      <w:color w:val="7030A0"/>
                      <w:sz w:val="48"/>
                      <w:szCs w:val="48"/>
                    </w:rPr>
                    <w:t>Perturbations du profil métabolique lipidique au cours de l’hépatite C chronique chez des patients de la wilaya de TEBESSA</w:t>
                  </w:r>
                </w:p>
              </w:txbxContent>
            </v:textbox>
          </v:shape>
        </w:pict>
      </w:r>
    </w:p>
    <w:p w:rsidR="0000215C" w:rsidRPr="0000215C" w:rsidRDefault="0000215C" w:rsidP="0000215C">
      <w:pPr>
        <w:jc w:val="center"/>
        <w:rPr>
          <w:rFonts w:asciiTheme="majorBidi" w:hAnsiTheme="majorBidi" w:cstheme="majorBidi"/>
          <w:sz w:val="32"/>
          <w:szCs w:val="32"/>
        </w:rPr>
      </w:pPr>
    </w:p>
    <w:p w:rsidR="0000215C" w:rsidRPr="0000215C" w:rsidRDefault="0000215C" w:rsidP="0000215C">
      <w:pPr>
        <w:jc w:val="center"/>
        <w:rPr>
          <w:rFonts w:asciiTheme="majorBidi" w:hAnsiTheme="majorBidi" w:cstheme="majorBidi"/>
          <w:sz w:val="32"/>
          <w:szCs w:val="32"/>
        </w:rPr>
      </w:pPr>
    </w:p>
    <w:p w:rsidR="0000215C" w:rsidRPr="0000215C" w:rsidRDefault="0000215C" w:rsidP="0000215C">
      <w:pPr>
        <w:jc w:val="center"/>
        <w:rPr>
          <w:rFonts w:asciiTheme="majorBidi" w:hAnsiTheme="majorBidi" w:cstheme="majorBidi"/>
          <w:sz w:val="32"/>
          <w:szCs w:val="32"/>
        </w:rPr>
      </w:pPr>
    </w:p>
    <w:p w:rsidR="0000215C" w:rsidRPr="0000215C" w:rsidRDefault="0000215C" w:rsidP="0000215C">
      <w:pPr>
        <w:jc w:val="center"/>
        <w:rPr>
          <w:rFonts w:asciiTheme="majorBidi" w:hAnsiTheme="majorBidi" w:cstheme="majorBidi"/>
          <w:sz w:val="32"/>
          <w:szCs w:val="32"/>
        </w:rPr>
      </w:pPr>
    </w:p>
    <w:p w:rsidR="0000215C" w:rsidRPr="0000215C" w:rsidRDefault="0000215C" w:rsidP="0000215C">
      <w:pPr>
        <w:spacing w:before="240"/>
        <w:jc w:val="center"/>
        <w:rPr>
          <w:rFonts w:asciiTheme="majorBidi" w:hAnsiTheme="majorBidi" w:cstheme="majorBidi"/>
          <w:sz w:val="32"/>
          <w:szCs w:val="32"/>
        </w:rPr>
      </w:pPr>
      <w:r w:rsidRPr="0000215C">
        <w:rPr>
          <w:rFonts w:asciiTheme="majorBidi" w:hAnsiTheme="majorBidi" w:cstheme="majorBidi"/>
          <w:i/>
          <w:iCs/>
          <w:sz w:val="32"/>
          <w:szCs w:val="32"/>
          <w:u w:val="single"/>
        </w:rPr>
        <w:t>Présenté par</w:t>
      </w:r>
      <w:r w:rsidRPr="0000215C">
        <w:rPr>
          <w:rFonts w:asciiTheme="majorBidi" w:hAnsiTheme="majorBidi" w:cstheme="majorBidi"/>
          <w:sz w:val="32"/>
          <w:szCs w:val="32"/>
        </w:rPr>
        <w:t>:</w:t>
      </w:r>
    </w:p>
    <w:p w:rsidR="0000215C" w:rsidRPr="0000215C" w:rsidRDefault="0000215C" w:rsidP="0000215C">
      <w:pPr>
        <w:jc w:val="center"/>
        <w:rPr>
          <w:rFonts w:asciiTheme="majorBidi" w:hAnsiTheme="majorBidi" w:cstheme="majorBidi"/>
          <w:b/>
          <w:bCs/>
          <w:sz w:val="28"/>
          <w:szCs w:val="28"/>
        </w:rPr>
      </w:pPr>
      <w:r w:rsidRPr="0000215C">
        <w:rPr>
          <w:rFonts w:asciiTheme="majorBidi" w:hAnsiTheme="majorBidi" w:cstheme="majorBidi"/>
          <w:b/>
          <w:bCs/>
          <w:sz w:val="28"/>
          <w:szCs w:val="28"/>
        </w:rPr>
        <w:t>M</w:t>
      </w:r>
      <w:r w:rsidRPr="0000215C">
        <w:rPr>
          <w:rFonts w:asciiTheme="majorBidi" w:hAnsiTheme="majorBidi" w:cstheme="majorBidi"/>
          <w:b/>
          <w:bCs/>
          <w:sz w:val="28"/>
          <w:szCs w:val="28"/>
          <w:vertAlign w:val="superscript"/>
        </w:rPr>
        <w:t>elle</w:t>
      </w:r>
      <w:r w:rsidRPr="0000215C">
        <w:rPr>
          <w:rFonts w:asciiTheme="majorBidi" w:hAnsiTheme="majorBidi" w:cstheme="majorBidi"/>
          <w:b/>
          <w:bCs/>
          <w:sz w:val="28"/>
          <w:szCs w:val="28"/>
        </w:rPr>
        <w:t xml:space="preserve"> AIT DJOUDI OUFFELA Souhaila</w:t>
      </w:r>
    </w:p>
    <w:p w:rsidR="0000215C" w:rsidRPr="0000215C" w:rsidRDefault="0000215C" w:rsidP="0000215C">
      <w:pPr>
        <w:jc w:val="center"/>
        <w:rPr>
          <w:rFonts w:asciiTheme="majorBidi" w:hAnsiTheme="majorBidi" w:cstheme="majorBidi"/>
          <w:sz w:val="32"/>
          <w:szCs w:val="32"/>
        </w:rPr>
      </w:pPr>
      <w:r w:rsidRPr="0000215C">
        <w:rPr>
          <w:rFonts w:asciiTheme="majorBidi" w:hAnsiTheme="majorBidi" w:cstheme="majorBidi"/>
          <w:b/>
          <w:bCs/>
          <w:sz w:val="28"/>
          <w:szCs w:val="28"/>
        </w:rPr>
        <w:t>M</w:t>
      </w:r>
      <w:r w:rsidRPr="0000215C">
        <w:rPr>
          <w:rFonts w:asciiTheme="majorBidi" w:hAnsiTheme="majorBidi" w:cstheme="majorBidi"/>
          <w:b/>
          <w:bCs/>
          <w:sz w:val="28"/>
          <w:szCs w:val="28"/>
          <w:vertAlign w:val="superscript"/>
        </w:rPr>
        <w:t>elle</w:t>
      </w:r>
      <w:r w:rsidRPr="0000215C">
        <w:rPr>
          <w:rFonts w:asciiTheme="majorBidi" w:hAnsiTheme="majorBidi" w:cstheme="majorBidi"/>
          <w:b/>
          <w:bCs/>
          <w:sz w:val="28"/>
          <w:szCs w:val="28"/>
        </w:rPr>
        <w:t xml:space="preserve"> DJOUINI Amira</w:t>
      </w:r>
    </w:p>
    <w:p w:rsidR="0000215C" w:rsidRPr="0000215C" w:rsidRDefault="0000215C" w:rsidP="0000215C">
      <w:pPr>
        <w:tabs>
          <w:tab w:val="left" w:pos="3387"/>
          <w:tab w:val="center" w:pos="4536"/>
        </w:tabs>
        <w:spacing w:line="360" w:lineRule="auto"/>
        <w:rPr>
          <w:rFonts w:asciiTheme="majorBidi" w:hAnsiTheme="majorBidi" w:cstheme="majorBidi"/>
          <w:b/>
          <w:bCs/>
          <w:i/>
          <w:iCs/>
          <w:sz w:val="32"/>
          <w:szCs w:val="32"/>
        </w:rPr>
      </w:pPr>
      <w:r w:rsidRPr="0000215C">
        <w:rPr>
          <w:rFonts w:asciiTheme="majorBidi" w:hAnsiTheme="majorBidi" w:cstheme="majorBidi"/>
          <w:b/>
          <w:bCs/>
          <w:i/>
          <w:iCs/>
          <w:sz w:val="32"/>
          <w:szCs w:val="32"/>
        </w:rPr>
        <w:tab/>
        <w:t>Devant le jury</w:t>
      </w:r>
      <w:r w:rsidRPr="0000215C">
        <w:rPr>
          <w:rFonts w:asciiTheme="majorBidi" w:hAnsiTheme="majorBidi" w:cstheme="majorBidi"/>
          <w:b/>
          <w:bCs/>
          <w:sz w:val="32"/>
          <w:szCs w:val="32"/>
        </w:rPr>
        <w:t>:</w:t>
      </w:r>
    </w:p>
    <w:tbl>
      <w:tblPr>
        <w:tblpPr w:leftFromText="141" w:rightFromText="141" w:vertAnchor="text" w:horzAnchor="margin" w:tblpY="139"/>
        <w:bidiVisual/>
        <w:tblW w:w="9589" w:type="dxa"/>
        <w:tblLook w:val="04A0"/>
      </w:tblPr>
      <w:tblGrid>
        <w:gridCol w:w="1715"/>
        <w:gridCol w:w="1936"/>
        <w:gridCol w:w="2127"/>
        <w:gridCol w:w="3811"/>
      </w:tblGrid>
      <w:tr w:rsidR="0000215C" w:rsidRPr="0000215C" w:rsidTr="000E53CA">
        <w:trPr>
          <w:trHeight w:val="478"/>
        </w:trPr>
        <w:tc>
          <w:tcPr>
            <w:tcW w:w="1715"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Présidente</w:t>
            </w:r>
          </w:p>
        </w:tc>
        <w:tc>
          <w:tcPr>
            <w:tcW w:w="1936"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U de TEBESSA</w:t>
            </w:r>
          </w:p>
        </w:tc>
        <w:tc>
          <w:tcPr>
            <w:tcW w:w="2127"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M AA</w:t>
            </w:r>
          </w:p>
        </w:tc>
        <w:tc>
          <w:tcPr>
            <w:tcW w:w="3811"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M</w:t>
            </w:r>
            <w:r w:rsidRPr="0000215C">
              <w:rPr>
                <w:rFonts w:asciiTheme="majorBidi" w:hAnsiTheme="majorBidi" w:cstheme="majorBidi"/>
                <w:b/>
                <w:bCs/>
                <w:vertAlign w:val="superscript"/>
                <w:lang w:eastAsia="fr-FR"/>
              </w:rPr>
              <w:t>me</w:t>
            </w:r>
            <w:r w:rsidRPr="0000215C">
              <w:rPr>
                <w:rFonts w:asciiTheme="majorBidi" w:hAnsiTheme="majorBidi" w:cstheme="majorBidi"/>
                <w:b/>
                <w:bCs/>
                <w:lang w:eastAsia="fr-FR"/>
              </w:rPr>
              <w:t xml:space="preserve"> BELGUENDOUZ  Karima</w:t>
            </w:r>
          </w:p>
        </w:tc>
      </w:tr>
      <w:tr w:rsidR="0000215C" w:rsidRPr="0000215C" w:rsidTr="000E53CA">
        <w:trPr>
          <w:trHeight w:val="542"/>
        </w:trPr>
        <w:tc>
          <w:tcPr>
            <w:tcW w:w="1715"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 xml:space="preserve">Examinatrice </w:t>
            </w:r>
          </w:p>
        </w:tc>
        <w:tc>
          <w:tcPr>
            <w:tcW w:w="1936"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U de TEBESSA</w:t>
            </w:r>
          </w:p>
        </w:tc>
        <w:tc>
          <w:tcPr>
            <w:tcW w:w="2127"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MAA</w:t>
            </w:r>
          </w:p>
        </w:tc>
        <w:tc>
          <w:tcPr>
            <w:tcW w:w="3811"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M</w:t>
            </w:r>
            <w:r w:rsidRPr="0000215C">
              <w:rPr>
                <w:rFonts w:asciiTheme="majorBidi" w:hAnsiTheme="majorBidi" w:cstheme="majorBidi"/>
                <w:b/>
                <w:bCs/>
                <w:vertAlign w:val="superscript"/>
                <w:lang w:eastAsia="fr-FR"/>
              </w:rPr>
              <w:t>elle</w:t>
            </w:r>
            <w:r w:rsidRPr="0000215C">
              <w:rPr>
                <w:rFonts w:asciiTheme="majorBidi" w:hAnsiTheme="majorBidi" w:cstheme="majorBidi"/>
                <w:b/>
                <w:bCs/>
                <w:lang w:eastAsia="fr-FR"/>
              </w:rPr>
              <w:t xml:space="preserve"> ZIANI Sawsene</w:t>
            </w:r>
          </w:p>
        </w:tc>
      </w:tr>
      <w:tr w:rsidR="0000215C" w:rsidRPr="0000215C" w:rsidTr="000E53CA">
        <w:trPr>
          <w:trHeight w:val="566"/>
        </w:trPr>
        <w:tc>
          <w:tcPr>
            <w:tcW w:w="1715"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Rapporteur</w:t>
            </w:r>
          </w:p>
        </w:tc>
        <w:tc>
          <w:tcPr>
            <w:tcW w:w="1936"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U de TEBESSA</w:t>
            </w:r>
          </w:p>
        </w:tc>
        <w:tc>
          <w:tcPr>
            <w:tcW w:w="2127"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MCB</w:t>
            </w:r>
          </w:p>
        </w:tc>
        <w:tc>
          <w:tcPr>
            <w:tcW w:w="3811" w:type="dxa"/>
          </w:tcPr>
          <w:p w:rsidR="0000215C" w:rsidRPr="0000215C" w:rsidRDefault="0000215C" w:rsidP="0000215C">
            <w:pPr>
              <w:spacing w:line="360" w:lineRule="auto"/>
              <w:rPr>
                <w:rFonts w:asciiTheme="majorBidi" w:hAnsiTheme="majorBidi" w:cstheme="majorBidi"/>
                <w:b/>
                <w:bCs/>
                <w:rtl/>
                <w:lang w:eastAsia="fr-FR"/>
              </w:rPr>
            </w:pPr>
            <w:r w:rsidRPr="0000215C">
              <w:rPr>
                <w:rFonts w:asciiTheme="majorBidi" w:hAnsiTheme="majorBidi" w:cstheme="majorBidi"/>
                <w:b/>
                <w:bCs/>
                <w:lang w:eastAsia="fr-FR"/>
              </w:rPr>
              <w:t>Dr TOUMI Nassima</w:t>
            </w:r>
          </w:p>
        </w:tc>
      </w:tr>
    </w:tbl>
    <w:p w:rsidR="0000215C" w:rsidRPr="0000215C" w:rsidRDefault="0000215C" w:rsidP="0000215C">
      <w:pPr>
        <w:spacing w:line="360" w:lineRule="auto"/>
        <w:jc w:val="center"/>
        <w:rPr>
          <w:rFonts w:asciiTheme="majorBidi" w:hAnsiTheme="majorBidi" w:cstheme="majorBidi"/>
          <w:i/>
          <w:iCs/>
          <w:u w:val="single"/>
        </w:rPr>
      </w:pPr>
      <w:r w:rsidRPr="0000215C">
        <w:rPr>
          <w:rFonts w:asciiTheme="majorBidi" w:hAnsiTheme="majorBidi" w:cstheme="majorBidi"/>
          <w:b/>
          <w:bCs/>
          <w:i/>
          <w:iCs/>
          <w:sz w:val="28"/>
          <w:szCs w:val="28"/>
          <w:u w:val="single"/>
        </w:rPr>
        <w:t>Date de soutenance: 29 mai 2016</w:t>
      </w:r>
    </w:p>
    <w:p w:rsidR="00116A6A" w:rsidRPr="00116A6A" w:rsidRDefault="00116A6A" w:rsidP="00F1402E">
      <w:pPr>
        <w:spacing w:line="360" w:lineRule="auto"/>
        <w:jc w:val="center"/>
        <w:rPr>
          <w:rFonts w:asciiTheme="majorBidi" w:hAnsiTheme="majorBidi" w:cstheme="majorBidi"/>
          <w:sz w:val="28"/>
          <w:szCs w:val="28"/>
        </w:rPr>
        <w:sectPr w:rsidR="00116A6A" w:rsidRPr="00116A6A" w:rsidSect="00116A6A">
          <w:pgSz w:w="11906" w:h="16838"/>
          <w:pgMar w:top="1134" w:right="1134" w:bottom="1134" w:left="1418" w:header="397" w:footer="680" w:gutter="0"/>
          <w:cols w:space="708"/>
          <w:docGrid w:linePitch="360"/>
        </w:sectPr>
      </w:pPr>
    </w:p>
    <w:p w:rsidR="000945D3" w:rsidRPr="000945D3" w:rsidRDefault="000945D3" w:rsidP="000945D3">
      <w:pPr>
        <w:spacing w:line="360" w:lineRule="auto"/>
        <w:jc w:val="center"/>
        <w:rPr>
          <w:rFonts w:asciiTheme="majorBidi" w:hAnsiTheme="majorBidi" w:cstheme="majorBidi"/>
          <w:b/>
          <w:bCs/>
          <w:color w:val="7030A0"/>
          <w:sz w:val="40"/>
          <w:szCs w:val="40"/>
          <w:rtl/>
        </w:rPr>
      </w:pPr>
      <w:r>
        <w:rPr>
          <w:rFonts w:asciiTheme="majorBidi" w:hAnsiTheme="majorBidi" w:cstheme="majorBidi" w:hint="cs"/>
          <w:b/>
          <w:bCs/>
          <w:color w:val="7030A0"/>
          <w:sz w:val="40"/>
          <w:szCs w:val="40"/>
          <w:rtl/>
        </w:rPr>
        <w:lastRenderedPageBreak/>
        <w:t>ملخص</w:t>
      </w:r>
    </w:p>
    <w:p w:rsidR="00D766ED" w:rsidRDefault="00D766ED" w:rsidP="006278B9">
      <w:pPr>
        <w:spacing w:line="360" w:lineRule="auto"/>
        <w:jc w:val="right"/>
        <w:rPr>
          <w:rFonts w:asciiTheme="majorBidi" w:hAnsiTheme="majorBidi" w:cstheme="majorBidi"/>
          <w:sz w:val="28"/>
          <w:szCs w:val="28"/>
          <w:rtl/>
        </w:rPr>
      </w:pPr>
      <w:r>
        <w:rPr>
          <w:rFonts w:asciiTheme="majorBidi" w:hAnsiTheme="majorBidi" w:cstheme="majorBidi" w:hint="cs"/>
          <w:sz w:val="28"/>
          <w:szCs w:val="28"/>
          <w:rtl/>
        </w:rPr>
        <w:t xml:space="preserve">تعتبر الاصابة بفيروس الوباء الكبدي ج مشكل صحية عالمة.  تمثل اليوم واحد من اهم الامراض المعدية في الجزائر و العالم. فيروس الوباء الكبدي ج هو فيروس يصيب الكبد و </w:t>
      </w:r>
      <w:r w:rsidR="00C60720">
        <w:rPr>
          <w:rFonts w:asciiTheme="majorBidi" w:hAnsiTheme="majorBidi" w:cstheme="majorBidi" w:hint="cs"/>
          <w:sz w:val="28"/>
          <w:szCs w:val="28"/>
          <w:rtl/>
        </w:rPr>
        <w:t xml:space="preserve">يمكن ان يسبب </w:t>
      </w:r>
      <w:r>
        <w:rPr>
          <w:rFonts w:asciiTheme="majorBidi" w:hAnsiTheme="majorBidi" w:cstheme="majorBidi" w:hint="cs"/>
          <w:sz w:val="28"/>
          <w:szCs w:val="28"/>
          <w:rtl/>
        </w:rPr>
        <w:t xml:space="preserve"> الالتهابات و الندوب.</w:t>
      </w:r>
    </w:p>
    <w:p w:rsidR="00D766ED" w:rsidRDefault="00D766ED" w:rsidP="006278B9">
      <w:pPr>
        <w:spacing w:line="360" w:lineRule="auto"/>
        <w:jc w:val="right"/>
        <w:rPr>
          <w:rFonts w:asciiTheme="majorBidi" w:hAnsiTheme="majorBidi" w:cstheme="majorBidi"/>
          <w:sz w:val="28"/>
          <w:szCs w:val="28"/>
          <w:rtl/>
        </w:rPr>
      </w:pPr>
      <w:r>
        <w:rPr>
          <w:rFonts w:asciiTheme="majorBidi" w:hAnsiTheme="majorBidi" w:cstheme="majorBidi" w:hint="cs"/>
          <w:sz w:val="28"/>
          <w:szCs w:val="28"/>
          <w:rtl/>
        </w:rPr>
        <w:t>اجريت في السنوات الاخيرة العديد من الدراسات لتوضيح الجوانب السريرية و التجريبية لتعيين التفاعل المباشر بين الفيروس الكبدي ج و عمليات ايض الدهون الكبدية, سواء في مرحلة العدوى او في مراحله داخل الخلية. و هذا ما سمح بانتقال الاصابة بفيروس الوباء الكبدي من مرض كبدي بحت الى مرض ايضي معقد مع تأثيرات خارج الكبد.</w:t>
      </w:r>
    </w:p>
    <w:p w:rsidR="00A112CB" w:rsidRDefault="00D766ED" w:rsidP="006278B9">
      <w:pPr>
        <w:spacing w:line="360" w:lineRule="auto"/>
        <w:jc w:val="right"/>
        <w:rPr>
          <w:rFonts w:asciiTheme="majorBidi" w:hAnsiTheme="majorBidi" w:cstheme="majorBidi"/>
          <w:sz w:val="28"/>
          <w:szCs w:val="28"/>
          <w:rtl/>
        </w:rPr>
      </w:pPr>
      <w:r>
        <w:rPr>
          <w:rFonts w:asciiTheme="majorBidi" w:hAnsiTheme="majorBidi" w:cstheme="majorBidi" w:hint="cs"/>
          <w:sz w:val="28"/>
          <w:szCs w:val="28"/>
          <w:rtl/>
        </w:rPr>
        <w:t xml:space="preserve">من اجل متابعة </w:t>
      </w:r>
      <w:r w:rsidR="00C60720">
        <w:rPr>
          <w:rFonts w:asciiTheme="majorBidi" w:hAnsiTheme="majorBidi" w:cstheme="majorBidi" w:hint="cs"/>
          <w:sz w:val="28"/>
          <w:szCs w:val="28"/>
          <w:rtl/>
        </w:rPr>
        <w:t>تأثير</w:t>
      </w:r>
      <w:r>
        <w:rPr>
          <w:rFonts w:asciiTheme="majorBidi" w:hAnsiTheme="majorBidi" w:cstheme="majorBidi" w:hint="cs"/>
          <w:sz w:val="28"/>
          <w:szCs w:val="28"/>
          <w:rtl/>
        </w:rPr>
        <w:t xml:space="preserve"> الفيروس الكبدي ج على عمليات ايض الدهون</w:t>
      </w:r>
      <w:r w:rsidR="00A112CB">
        <w:rPr>
          <w:rFonts w:asciiTheme="majorBidi" w:hAnsiTheme="majorBidi" w:cstheme="majorBidi" w:hint="cs"/>
          <w:sz w:val="28"/>
          <w:szCs w:val="28"/>
          <w:rtl/>
        </w:rPr>
        <w:t>,</w:t>
      </w:r>
      <w:r>
        <w:rPr>
          <w:rFonts w:asciiTheme="majorBidi" w:hAnsiTheme="majorBidi" w:cstheme="majorBidi" w:hint="cs"/>
          <w:sz w:val="28"/>
          <w:szCs w:val="28"/>
          <w:rtl/>
        </w:rPr>
        <w:t xml:space="preserve"> قمنا </w:t>
      </w:r>
      <w:r w:rsidR="00C60720">
        <w:rPr>
          <w:rFonts w:asciiTheme="majorBidi" w:hAnsiTheme="majorBidi" w:cstheme="majorBidi" w:hint="cs"/>
          <w:sz w:val="28"/>
          <w:szCs w:val="28"/>
          <w:rtl/>
        </w:rPr>
        <w:t>بإجراء</w:t>
      </w:r>
      <w:r>
        <w:rPr>
          <w:rFonts w:asciiTheme="majorBidi" w:hAnsiTheme="majorBidi" w:cstheme="majorBidi" w:hint="cs"/>
          <w:sz w:val="28"/>
          <w:szCs w:val="28"/>
          <w:rtl/>
        </w:rPr>
        <w:t xml:space="preserve"> مقارنة بين 100 مريض يعاني من </w:t>
      </w:r>
      <w:r w:rsidR="00A112CB">
        <w:rPr>
          <w:rFonts w:asciiTheme="majorBidi" w:hAnsiTheme="majorBidi" w:cstheme="majorBidi" w:hint="cs"/>
          <w:sz w:val="28"/>
          <w:szCs w:val="28"/>
          <w:rtl/>
        </w:rPr>
        <w:t>الفيروس الكبدي ج و 100 شخص سليم.</w:t>
      </w:r>
    </w:p>
    <w:p w:rsidR="00A112CB" w:rsidRDefault="00A112CB" w:rsidP="006278B9">
      <w:pPr>
        <w:spacing w:line="360" w:lineRule="auto"/>
        <w:jc w:val="right"/>
        <w:rPr>
          <w:rFonts w:asciiTheme="majorBidi" w:hAnsiTheme="majorBidi" w:cstheme="majorBidi"/>
          <w:sz w:val="28"/>
          <w:szCs w:val="28"/>
          <w:rtl/>
        </w:rPr>
      </w:pPr>
      <w:r>
        <w:rPr>
          <w:rFonts w:asciiTheme="majorBidi" w:hAnsiTheme="majorBidi" w:cstheme="majorBidi" w:hint="cs"/>
          <w:sz w:val="28"/>
          <w:szCs w:val="28"/>
          <w:rtl/>
        </w:rPr>
        <w:t>في اغلب الاحيان يصيب هذا المرض الفئة العمرية بين 40 و 59 سنة و ايضا يصيب النساء اكثر من الرجال في منطقتنا تبسة مع نسبة 2,08 لصالح النساء.</w:t>
      </w:r>
    </w:p>
    <w:p w:rsidR="00A112CB" w:rsidRDefault="00A112CB" w:rsidP="006278B9">
      <w:pPr>
        <w:spacing w:line="360" w:lineRule="auto"/>
        <w:jc w:val="right"/>
        <w:rPr>
          <w:rFonts w:asciiTheme="majorBidi" w:hAnsiTheme="majorBidi" w:cstheme="majorBidi"/>
          <w:sz w:val="28"/>
          <w:szCs w:val="28"/>
          <w:rtl/>
        </w:rPr>
      </w:pPr>
      <w:r>
        <w:rPr>
          <w:rFonts w:asciiTheme="majorBidi" w:hAnsiTheme="majorBidi" w:cstheme="majorBidi" w:hint="cs"/>
          <w:sz w:val="28"/>
          <w:szCs w:val="28"/>
          <w:rtl/>
        </w:rPr>
        <w:t>اثبتت دراستنا اولا وجود اختلافات كبيرة في وظائف الكبد عند المرضى المصابين بالفيروس الكبدي ج مقارنة مع الشواهد.</w:t>
      </w:r>
    </w:p>
    <w:p w:rsidR="00A112CB" w:rsidRDefault="00A112CB" w:rsidP="00D766ED">
      <w:pPr>
        <w:spacing w:line="360" w:lineRule="auto"/>
        <w:jc w:val="right"/>
        <w:rPr>
          <w:rFonts w:asciiTheme="majorBidi" w:hAnsiTheme="majorBidi" w:cstheme="majorBidi"/>
          <w:sz w:val="28"/>
          <w:szCs w:val="28"/>
          <w:rtl/>
        </w:rPr>
      </w:pPr>
      <w:r>
        <w:rPr>
          <w:rFonts w:asciiTheme="majorBidi" w:hAnsiTheme="majorBidi" w:cstheme="majorBidi" w:hint="cs"/>
          <w:sz w:val="28"/>
          <w:szCs w:val="28"/>
          <w:rtl/>
        </w:rPr>
        <w:t>و ثانيا اظهرت مقارنة مستوى الدهون في الدم بين المجموعتين اختلاف كبير في نسبة الكوليسترول الكلي ونسبة  الكوليسترول  الضار. حيث ان الاصابة بالفيروس الكبدي ج مسؤولة عن انخفاض مستوى الكوليسترول الكلي و الضار.</w:t>
      </w:r>
    </w:p>
    <w:p w:rsidR="00C60720" w:rsidRDefault="00A112CB" w:rsidP="00D766ED">
      <w:pPr>
        <w:spacing w:line="360" w:lineRule="auto"/>
        <w:jc w:val="right"/>
        <w:rPr>
          <w:rFonts w:asciiTheme="majorBidi" w:hAnsiTheme="majorBidi" w:cstheme="majorBidi"/>
          <w:sz w:val="28"/>
          <w:szCs w:val="28"/>
          <w:rtl/>
        </w:rPr>
      </w:pPr>
      <w:r>
        <w:rPr>
          <w:rFonts w:asciiTheme="majorBidi" w:hAnsiTheme="majorBidi" w:cstheme="majorBidi" w:hint="cs"/>
          <w:sz w:val="28"/>
          <w:szCs w:val="28"/>
          <w:rtl/>
        </w:rPr>
        <w:t>و على العكس لم نلاحظ أي اختلاف في مستوى ثلاثي الدهون</w:t>
      </w:r>
      <w:r w:rsidR="00C60720">
        <w:rPr>
          <w:rFonts w:asciiTheme="majorBidi" w:hAnsiTheme="majorBidi" w:cstheme="majorBidi" w:hint="cs"/>
          <w:sz w:val="28"/>
          <w:szCs w:val="28"/>
          <w:rtl/>
        </w:rPr>
        <w:t xml:space="preserve"> و الكوليسترول النافع.</w:t>
      </w:r>
    </w:p>
    <w:p w:rsidR="00C60720" w:rsidRDefault="00C60720" w:rsidP="00D766ED">
      <w:pPr>
        <w:spacing w:line="360" w:lineRule="auto"/>
        <w:jc w:val="right"/>
        <w:rPr>
          <w:rFonts w:asciiTheme="majorBidi" w:hAnsiTheme="majorBidi" w:cstheme="majorBidi"/>
          <w:sz w:val="28"/>
          <w:szCs w:val="28"/>
          <w:rtl/>
        </w:rPr>
      </w:pPr>
      <w:r>
        <w:rPr>
          <w:rFonts w:asciiTheme="majorBidi" w:hAnsiTheme="majorBidi" w:cstheme="majorBidi" w:hint="cs"/>
          <w:sz w:val="28"/>
          <w:szCs w:val="28"/>
          <w:rtl/>
        </w:rPr>
        <w:t xml:space="preserve">و ايضا لا يوجد ارتباط بين المتغيرات الدهنية المتأثرة بالفيروس ج مع مختلف مراحل </w:t>
      </w:r>
      <w:r w:rsidR="006205BC">
        <w:rPr>
          <w:rFonts w:asciiTheme="majorBidi" w:hAnsiTheme="majorBidi" w:cs="Times New Roman"/>
          <w:sz w:val="28"/>
          <w:szCs w:val="28"/>
          <w:rtl/>
        </w:rPr>
        <w:t>تليف الكبد</w:t>
      </w:r>
      <w:r w:rsidR="006205BC">
        <w:rPr>
          <w:rFonts w:asciiTheme="majorBidi" w:hAnsiTheme="majorBidi" w:cstheme="majorBidi"/>
          <w:sz w:val="28"/>
          <w:szCs w:val="28"/>
          <w:rtl/>
        </w:rPr>
        <w:t xml:space="preserve"> </w:t>
      </w:r>
      <w:r w:rsidR="006205BC">
        <w:rPr>
          <w:rFonts w:asciiTheme="majorBidi" w:hAnsiTheme="majorBidi" w:cstheme="majorBidi" w:hint="cs"/>
          <w:sz w:val="28"/>
          <w:szCs w:val="28"/>
          <w:rtl/>
        </w:rPr>
        <w:t xml:space="preserve"> </w:t>
      </w:r>
      <w:r>
        <w:rPr>
          <w:rFonts w:asciiTheme="majorBidi" w:hAnsiTheme="majorBidi" w:cstheme="majorBidi" w:hint="cs"/>
          <w:sz w:val="28"/>
          <w:szCs w:val="28"/>
          <w:rtl/>
        </w:rPr>
        <w:t>و لكن الانخفاض في مستوى هذه المتغيرات مع التقدم في</w:t>
      </w:r>
      <w:r w:rsidR="006205BC" w:rsidRPr="00310248">
        <w:rPr>
          <w:rFonts w:asciiTheme="majorBidi" w:hAnsiTheme="majorBidi" w:cs="Times New Roman"/>
          <w:sz w:val="28"/>
          <w:szCs w:val="28"/>
          <w:rtl/>
        </w:rPr>
        <w:t xml:space="preserve"> </w:t>
      </w:r>
      <w:r w:rsidR="006205BC">
        <w:rPr>
          <w:rFonts w:asciiTheme="majorBidi" w:hAnsiTheme="majorBidi" w:cs="Times New Roman" w:hint="cs"/>
          <w:sz w:val="28"/>
          <w:szCs w:val="28"/>
          <w:rtl/>
        </w:rPr>
        <w:t>ال</w:t>
      </w:r>
      <w:r w:rsidR="006205BC">
        <w:rPr>
          <w:rFonts w:asciiTheme="majorBidi" w:hAnsiTheme="majorBidi" w:cs="Times New Roman"/>
          <w:sz w:val="28"/>
          <w:szCs w:val="28"/>
          <w:rtl/>
        </w:rPr>
        <w:t>تليف</w:t>
      </w:r>
      <w:r>
        <w:rPr>
          <w:rFonts w:asciiTheme="majorBidi" w:hAnsiTheme="majorBidi" w:cstheme="majorBidi" w:hint="cs"/>
          <w:sz w:val="28"/>
          <w:szCs w:val="28"/>
          <w:rtl/>
        </w:rPr>
        <w:t xml:space="preserve">  واضح.</w:t>
      </w:r>
    </w:p>
    <w:p w:rsidR="00A112CB" w:rsidRDefault="00C60720" w:rsidP="00D766ED">
      <w:pPr>
        <w:spacing w:line="360" w:lineRule="auto"/>
        <w:jc w:val="right"/>
        <w:rPr>
          <w:rFonts w:asciiTheme="majorBidi" w:hAnsiTheme="majorBidi" w:cstheme="majorBidi"/>
          <w:sz w:val="28"/>
          <w:szCs w:val="28"/>
          <w:rtl/>
        </w:rPr>
      </w:pPr>
      <w:bookmarkStart w:id="0" w:name="_GoBack"/>
      <w:bookmarkEnd w:id="0"/>
      <w:r>
        <w:rPr>
          <w:rFonts w:asciiTheme="majorBidi" w:hAnsiTheme="majorBidi" w:cstheme="majorBidi" w:hint="cs"/>
          <w:sz w:val="28"/>
          <w:szCs w:val="28"/>
          <w:rtl/>
        </w:rPr>
        <w:t xml:space="preserve">استطعنا في يلي مناقشة هذه المتغيرات و علاقتها المباشرة مع الاصابة </w:t>
      </w:r>
      <w:r w:rsidR="000945D3">
        <w:rPr>
          <w:rFonts w:asciiTheme="majorBidi" w:hAnsiTheme="majorBidi" w:cstheme="majorBidi" w:hint="cs"/>
          <w:sz w:val="28"/>
          <w:szCs w:val="28"/>
          <w:rtl/>
        </w:rPr>
        <w:t>بالفيروس ج هذا الاخير ينظم بطريقة جيدة عمليات ايض البروتينات الدهنية و يتسبب في تشحم الكبد و انخفاض مستوى الكوليسترول و كذا انخفاض مستوى البروتينات الدهنية.</w:t>
      </w:r>
    </w:p>
    <w:p w:rsidR="00D766ED" w:rsidRDefault="00D766ED" w:rsidP="003F3925">
      <w:pPr>
        <w:spacing w:line="360" w:lineRule="auto"/>
        <w:jc w:val="right"/>
        <w:rPr>
          <w:rFonts w:asciiTheme="majorBidi" w:hAnsiTheme="majorBidi" w:cstheme="majorBidi"/>
          <w:sz w:val="28"/>
          <w:szCs w:val="28"/>
          <w:rtl/>
        </w:rPr>
      </w:pPr>
    </w:p>
    <w:p w:rsidR="0010728D" w:rsidRPr="003F3925" w:rsidRDefault="003F3925" w:rsidP="003F3925">
      <w:pPr>
        <w:spacing w:line="360" w:lineRule="auto"/>
        <w:jc w:val="right"/>
        <w:rPr>
          <w:rFonts w:asciiTheme="majorBidi" w:hAnsiTheme="majorBidi" w:cstheme="majorBidi"/>
          <w:sz w:val="24"/>
          <w:szCs w:val="24"/>
        </w:rPr>
        <w:sectPr w:rsidR="0010728D" w:rsidRPr="003F3925" w:rsidSect="000945D3">
          <w:headerReference w:type="default" r:id="rId11"/>
          <w:pgSz w:w="11906" w:h="16838"/>
          <w:pgMar w:top="1134" w:right="1134" w:bottom="1134" w:left="1418" w:header="397" w:footer="680" w:gutter="0"/>
          <w:cols w:space="708"/>
          <w:docGrid w:linePitch="360"/>
        </w:sectPr>
      </w:pPr>
      <w:r w:rsidRPr="003F3925">
        <w:rPr>
          <w:rFonts w:asciiTheme="majorBidi" w:hAnsiTheme="majorBidi" w:cstheme="majorBidi" w:hint="cs"/>
          <w:b/>
          <w:bCs/>
          <w:sz w:val="24"/>
          <w:szCs w:val="24"/>
          <w:rtl/>
        </w:rPr>
        <w:t>الكلمات المفتاحية</w:t>
      </w:r>
      <w:r w:rsidRPr="003F3925">
        <w:rPr>
          <w:rFonts w:asciiTheme="majorBidi" w:hAnsiTheme="majorBidi" w:cstheme="majorBidi" w:hint="cs"/>
          <w:sz w:val="24"/>
          <w:szCs w:val="24"/>
          <w:rtl/>
        </w:rPr>
        <w:t xml:space="preserve"> : الفيروس الكبدي ج,</w:t>
      </w:r>
      <w:r w:rsidR="006205BC">
        <w:rPr>
          <w:rFonts w:asciiTheme="majorBidi" w:hAnsiTheme="majorBidi" w:cstheme="majorBidi" w:hint="cs"/>
          <w:sz w:val="24"/>
          <w:szCs w:val="24"/>
          <w:rtl/>
        </w:rPr>
        <w:t xml:space="preserve"> ايض الدهون, البروتينات الدهنية</w:t>
      </w:r>
      <w:r w:rsidRPr="003F3925">
        <w:rPr>
          <w:rFonts w:asciiTheme="majorBidi" w:hAnsiTheme="majorBidi" w:cstheme="majorBidi" w:hint="cs"/>
          <w:sz w:val="24"/>
          <w:szCs w:val="24"/>
          <w:rtl/>
        </w:rPr>
        <w:t xml:space="preserve"> </w:t>
      </w:r>
      <w:r w:rsidR="006205BC" w:rsidRPr="003F3925">
        <w:rPr>
          <w:rFonts w:asciiTheme="majorBidi" w:hAnsiTheme="majorBidi" w:cstheme="majorBidi" w:hint="cs"/>
          <w:sz w:val="24"/>
          <w:szCs w:val="24"/>
          <w:rtl/>
        </w:rPr>
        <w:t>,</w:t>
      </w:r>
      <w:r w:rsidR="006205BC" w:rsidRPr="00310248">
        <w:rPr>
          <w:rFonts w:asciiTheme="majorBidi" w:hAnsiTheme="majorBidi" w:cs="Times New Roman"/>
          <w:sz w:val="24"/>
          <w:szCs w:val="24"/>
          <w:rtl/>
        </w:rPr>
        <w:t xml:space="preserve"> تليف</w:t>
      </w:r>
      <w:r w:rsidR="006205BC" w:rsidRPr="00310248">
        <w:rPr>
          <w:rFonts w:asciiTheme="majorBidi" w:hAnsiTheme="majorBidi" w:cstheme="majorBidi" w:hint="cs"/>
          <w:sz w:val="24"/>
          <w:szCs w:val="24"/>
          <w:rtl/>
        </w:rPr>
        <w:t>.</w:t>
      </w:r>
    </w:p>
    <w:p w:rsidR="003F3925" w:rsidRPr="003F3925" w:rsidRDefault="003F3925" w:rsidP="003F3925">
      <w:pPr>
        <w:jc w:val="center"/>
        <w:rPr>
          <w:rFonts w:asciiTheme="majorBidi" w:hAnsiTheme="majorBidi" w:cs="Times New Roman"/>
          <w:b/>
          <w:bCs/>
          <w:i/>
          <w:iCs/>
          <w:sz w:val="40"/>
          <w:szCs w:val="40"/>
          <w:lang w:val="en-ZA"/>
        </w:rPr>
      </w:pPr>
      <w:r w:rsidRPr="003F3925">
        <w:rPr>
          <w:rFonts w:asciiTheme="majorBidi" w:hAnsiTheme="majorBidi" w:cs="Times New Roman"/>
          <w:b/>
          <w:bCs/>
          <w:i/>
          <w:iCs/>
          <w:color w:val="7030A0"/>
          <w:sz w:val="40"/>
          <w:szCs w:val="40"/>
          <w:lang w:val="en-ZA"/>
        </w:rPr>
        <w:lastRenderedPageBreak/>
        <w:t>Abstract</w:t>
      </w:r>
    </w:p>
    <w:p w:rsidR="003F3925" w:rsidRPr="000E1FE3" w:rsidRDefault="003F3925" w:rsidP="003F3925">
      <w:pPr>
        <w:spacing w:line="360" w:lineRule="auto"/>
        <w:ind w:firstLine="708"/>
        <w:jc w:val="both"/>
        <w:rPr>
          <w:rFonts w:asciiTheme="majorBidi" w:hAnsiTheme="majorBidi" w:cs="Times New Roman"/>
          <w:sz w:val="24"/>
          <w:szCs w:val="24"/>
          <w:lang w:val="en-ZA"/>
        </w:rPr>
      </w:pPr>
      <w:r w:rsidRPr="000E1FE3">
        <w:rPr>
          <w:rFonts w:asciiTheme="majorBidi" w:hAnsiTheme="majorBidi" w:cs="Times New Roman"/>
          <w:sz w:val="24"/>
          <w:szCs w:val="24"/>
          <w:lang w:val="en-ZA"/>
        </w:rPr>
        <w:t xml:space="preserve">The infection by the chronic hepatitis C virus (HCV) is a </w:t>
      </w:r>
      <w:r>
        <w:rPr>
          <w:rFonts w:asciiTheme="majorBidi" w:hAnsiTheme="majorBidi" w:cs="Times New Roman"/>
          <w:sz w:val="24"/>
          <w:szCs w:val="24"/>
          <w:lang w:val="en-ZA"/>
        </w:rPr>
        <w:t>major public health problem.</w:t>
      </w:r>
      <w:r w:rsidR="00194992">
        <w:rPr>
          <w:rFonts w:asciiTheme="majorBidi" w:hAnsiTheme="majorBidi" w:cs="Times New Roman"/>
          <w:sz w:val="24"/>
          <w:szCs w:val="24"/>
          <w:lang w:val="en-ZA"/>
        </w:rPr>
        <w:t xml:space="preserve"> </w:t>
      </w:r>
      <w:r>
        <w:rPr>
          <w:rFonts w:asciiTheme="majorBidi" w:hAnsiTheme="majorBidi" w:cs="Times New Roman"/>
          <w:sz w:val="24"/>
          <w:szCs w:val="24"/>
          <w:lang w:val="en-ZA"/>
        </w:rPr>
        <w:t>It</w:t>
      </w:r>
      <w:r w:rsidRPr="000E1FE3">
        <w:rPr>
          <w:rFonts w:asciiTheme="majorBidi" w:hAnsiTheme="majorBidi" w:cs="Times New Roman"/>
          <w:sz w:val="24"/>
          <w:szCs w:val="24"/>
          <w:lang w:val="en-ZA"/>
        </w:rPr>
        <w:t xml:space="preserve"> represents one of the most frequent infectious diseases in world and in Algeria today. The hepatitis C</w:t>
      </w:r>
      <w:r w:rsidR="00194992">
        <w:rPr>
          <w:rFonts w:asciiTheme="majorBidi" w:hAnsiTheme="majorBidi" w:cs="Times New Roman"/>
          <w:sz w:val="24"/>
          <w:szCs w:val="24"/>
          <w:lang w:val="en-ZA"/>
        </w:rPr>
        <w:t xml:space="preserve"> </w:t>
      </w:r>
      <w:r w:rsidRPr="000E1FE3">
        <w:rPr>
          <w:rFonts w:asciiTheme="majorBidi" w:hAnsiTheme="majorBidi" w:cs="Times New Roman"/>
          <w:sz w:val="24"/>
          <w:szCs w:val="24"/>
          <w:lang w:val="en-ZA"/>
        </w:rPr>
        <w:t>virus, collectively called HCV</w:t>
      </w:r>
      <w:r>
        <w:rPr>
          <w:rFonts w:asciiTheme="majorBidi" w:hAnsiTheme="majorBidi" w:cs="Times New Roman"/>
          <w:sz w:val="24"/>
          <w:szCs w:val="24"/>
          <w:lang w:val="en-ZA"/>
        </w:rPr>
        <w:t>, is a virus which affects</w:t>
      </w:r>
      <w:r w:rsidR="00194992">
        <w:rPr>
          <w:rFonts w:asciiTheme="majorBidi" w:hAnsiTheme="majorBidi" w:cs="Times New Roman"/>
          <w:sz w:val="24"/>
          <w:szCs w:val="24"/>
          <w:lang w:val="en-ZA"/>
        </w:rPr>
        <w:t xml:space="preserve"> </w:t>
      </w:r>
      <w:r>
        <w:rPr>
          <w:rFonts w:asciiTheme="majorBidi" w:hAnsiTheme="majorBidi" w:cs="Times New Roman"/>
          <w:sz w:val="24"/>
          <w:szCs w:val="24"/>
          <w:lang w:val="en-ZA"/>
        </w:rPr>
        <w:t xml:space="preserve">the liver and can cause </w:t>
      </w:r>
      <w:r w:rsidRPr="000E1FE3">
        <w:rPr>
          <w:rFonts w:asciiTheme="majorBidi" w:hAnsiTheme="majorBidi" w:cs="Times New Roman"/>
          <w:sz w:val="24"/>
          <w:szCs w:val="24"/>
          <w:lang w:val="en-ZA"/>
        </w:rPr>
        <w:t>an inflammation and a training of scar tissue.</w:t>
      </w:r>
    </w:p>
    <w:p w:rsidR="003F3925" w:rsidRPr="000E1FE3" w:rsidRDefault="003F3925" w:rsidP="003F3925">
      <w:pPr>
        <w:spacing w:line="360" w:lineRule="auto"/>
        <w:ind w:firstLine="708"/>
        <w:jc w:val="both"/>
        <w:rPr>
          <w:rFonts w:asciiTheme="majorBidi" w:hAnsiTheme="majorBidi" w:cs="Times New Roman"/>
          <w:sz w:val="24"/>
          <w:szCs w:val="24"/>
          <w:lang w:val="en-ZA"/>
        </w:rPr>
      </w:pPr>
      <w:r w:rsidRPr="000E1FE3">
        <w:rPr>
          <w:rFonts w:asciiTheme="majorBidi" w:hAnsiTheme="majorBidi" w:cs="Times New Roman"/>
          <w:sz w:val="24"/>
          <w:szCs w:val="24"/>
          <w:lang w:val="en-ZA"/>
        </w:rPr>
        <w:t xml:space="preserve">During the last years, </w:t>
      </w:r>
      <w:r>
        <w:rPr>
          <w:rFonts w:asciiTheme="majorBidi" w:hAnsiTheme="majorBidi" w:cs="Times New Roman"/>
          <w:sz w:val="24"/>
          <w:szCs w:val="24"/>
          <w:lang w:val="en-ZA"/>
        </w:rPr>
        <w:t xml:space="preserve">many </w:t>
      </w:r>
      <w:r w:rsidRPr="000E1FE3">
        <w:rPr>
          <w:rFonts w:asciiTheme="majorBidi" w:hAnsiTheme="majorBidi" w:cs="Times New Roman"/>
          <w:sz w:val="24"/>
          <w:szCs w:val="24"/>
          <w:lang w:val="en-ZA"/>
        </w:rPr>
        <w:t>studies were realized to clarify aspects, clin</w:t>
      </w:r>
      <w:r>
        <w:rPr>
          <w:rFonts w:asciiTheme="majorBidi" w:hAnsiTheme="majorBidi" w:cs="Times New Roman"/>
          <w:sz w:val="24"/>
          <w:szCs w:val="24"/>
          <w:lang w:val="en-ZA"/>
        </w:rPr>
        <w:t>ical or experimental, appointing</w:t>
      </w:r>
      <w:r w:rsidRPr="000E1FE3">
        <w:rPr>
          <w:rFonts w:asciiTheme="majorBidi" w:hAnsiTheme="majorBidi" w:cs="Times New Roman"/>
          <w:sz w:val="24"/>
          <w:szCs w:val="24"/>
          <w:lang w:val="en-ZA"/>
        </w:rPr>
        <w:t xml:space="preserve"> a direct interaction of the HCV with the hepatic lipid metabolism both at the stage of the infection and in its intracellular stag</w:t>
      </w:r>
      <w:r>
        <w:rPr>
          <w:rFonts w:asciiTheme="majorBidi" w:hAnsiTheme="majorBidi" w:cs="Times New Roman"/>
          <w:sz w:val="24"/>
          <w:szCs w:val="24"/>
          <w:lang w:val="en-ZA"/>
        </w:rPr>
        <w:t xml:space="preserve">es. This allowed the deviation </w:t>
      </w:r>
      <w:r w:rsidRPr="000E1FE3">
        <w:rPr>
          <w:rFonts w:asciiTheme="majorBidi" w:hAnsiTheme="majorBidi" w:cs="Times New Roman"/>
          <w:sz w:val="24"/>
          <w:szCs w:val="24"/>
          <w:lang w:val="en-ZA"/>
        </w:rPr>
        <w:t xml:space="preserve">of the infection by the HCV of a purely hepatic viral disease </w:t>
      </w:r>
      <w:r>
        <w:rPr>
          <w:rFonts w:asciiTheme="majorBidi" w:hAnsiTheme="majorBidi" w:cs="Times New Roman"/>
          <w:sz w:val="24"/>
          <w:szCs w:val="24"/>
          <w:lang w:val="en-ZA"/>
        </w:rPr>
        <w:t xml:space="preserve">to </w:t>
      </w:r>
      <w:r w:rsidRPr="000E1FE3">
        <w:rPr>
          <w:rFonts w:asciiTheme="majorBidi" w:hAnsiTheme="majorBidi" w:cs="Times New Roman"/>
          <w:sz w:val="24"/>
          <w:szCs w:val="24"/>
          <w:lang w:val="en-ZA"/>
        </w:rPr>
        <w:t xml:space="preserve">a complex metabolic disease with extra hepatic </w:t>
      </w:r>
      <w:r>
        <w:rPr>
          <w:rFonts w:asciiTheme="majorBidi" w:hAnsiTheme="majorBidi" w:cs="Times New Roman"/>
          <w:sz w:val="24"/>
          <w:szCs w:val="24"/>
          <w:lang w:val="en-ZA"/>
        </w:rPr>
        <w:t>appearances</w:t>
      </w:r>
      <w:r w:rsidRPr="000E1FE3">
        <w:rPr>
          <w:rFonts w:asciiTheme="majorBidi" w:hAnsiTheme="majorBidi" w:cs="Times New Roman"/>
          <w:sz w:val="24"/>
          <w:szCs w:val="24"/>
          <w:lang w:val="en-ZA"/>
        </w:rPr>
        <w:t>.</w:t>
      </w:r>
    </w:p>
    <w:p w:rsidR="003F3925" w:rsidRPr="000E1FE3" w:rsidRDefault="003F3925" w:rsidP="003F3925">
      <w:pPr>
        <w:spacing w:line="360" w:lineRule="auto"/>
        <w:ind w:firstLine="708"/>
        <w:jc w:val="both"/>
        <w:rPr>
          <w:rFonts w:asciiTheme="majorBidi" w:hAnsiTheme="majorBidi" w:cs="Times New Roman"/>
          <w:sz w:val="24"/>
          <w:szCs w:val="24"/>
          <w:lang w:val="en-ZA"/>
        </w:rPr>
      </w:pPr>
      <w:r w:rsidRPr="000E1FE3">
        <w:rPr>
          <w:rFonts w:asciiTheme="majorBidi" w:hAnsiTheme="majorBidi" w:cs="Times New Roman"/>
          <w:sz w:val="24"/>
          <w:szCs w:val="24"/>
          <w:lang w:val="en-ZA"/>
        </w:rPr>
        <w:t>With the aim of following the influence of the HCV on the lipid metabolism we opted for a comparison between 100 patients reached</w:t>
      </w:r>
      <w:r w:rsidR="006205BC">
        <w:rPr>
          <w:rFonts w:asciiTheme="majorBidi" w:hAnsiTheme="majorBidi" w:cs="Times New Roman"/>
          <w:sz w:val="24"/>
          <w:szCs w:val="24"/>
          <w:lang w:val="en-ZA"/>
        </w:rPr>
        <w:t xml:space="preserve"> </w:t>
      </w:r>
      <w:r w:rsidRPr="000E1FE3">
        <w:rPr>
          <w:rFonts w:asciiTheme="majorBidi" w:hAnsiTheme="majorBidi" w:cs="Times New Roman"/>
          <w:sz w:val="24"/>
          <w:szCs w:val="24"/>
          <w:lang w:val="en-ZA"/>
        </w:rPr>
        <w:t>by hepatitis C (case) and 100 healthy witnesses</w:t>
      </w:r>
      <w:r w:rsidR="001D4718">
        <w:rPr>
          <w:rFonts w:asciiTheme="majorBidi" w:hAnsiTheme="majorBidi" w:cs="Times New Roman"/>
          <w:sz w:val="24"/>
          <w:szCs w:val="24"/>
          <w:lang w:val="en-ZA"/>
        </w:rPr>
        <w:t xml:space="preserve"> </w:t>
      </w:r>
      <w:r w:rsidRPr="000E1FE3">
        <w:rPr>
          <w:rFonts w:asciiTheme="majorBidi" w:hAnsiTheme="majorBidi" w:cs="Times New Roman"/>
          <w:sz w:val="24"/>
          <w:szCs w:val="24"/>
          <w:lang w:val="en-ZA"/>
        </w:rPr>
        <w:t>(batons). The proportion of the sick the most affected</w:t>
      </w:r>
      <w:r w:rsidR="006205BC">
        <w:rPr>
          <w:rFonts w:asciiTheme="majorBidi" w:hAnsiTheme="majorBidi" w:cs="Times New Roman"/>
          <w:sz w:val="24"/>
          <w:szCs w:val="24"/>
          <w:lang w:val="en-ZA"/>
        </w:rPr>
        <w:t xml:space="preserve"> </w:t>
      </w:r>
      <w:r w:rsidRPr="000E1FE3">
        <w:rPr>
          <w:rFonts w:asciiTheme="majorBidi" w:hAnsiTheme="majorBidi" w:cs="Times New Roman"/>
          <w:sz w:val="24"/>
          <w:szCs w:val="24"/>
          <w:lang w:val="en-ZA"/>
        </w:rPr>
        <w:t>by the HCV is in the most advanced age groups mentioned the slice</w:t>
      </w:r>
      <w:r w:rsidR="006205BC">
        <w:rPr>
          <w:rFonts w:asciiTheme="majorBidi" w:hAnsiTheme="majorBidi" w:cs="Times New Roman"/>
          <w:sz w:val="24"/>
          <w:szCs w:val="24"/>
          <w:lang w:val="en-ZA"/>
        </w:rPr>
        <w:t xml:space="preserve"> </w:t>
      </w:r>
      <w:r w:rsidRPr="000E1FE3">
        <w:rPr>
          <w:rFonts w:asciiTheme="majorBidi" w:hAnsiTheme="majorBidi" w:cs="Times New Roman"/>
          <w:sz w:val="24"/>
          <w:szCs w:val="24"/>
          <w:lang w:val="en-ZA"/>
        </w:rPr>
        <w:t xml:space="preserve">(edge). So, the hepatitis C affects more the women than the menin our region (wilaya of </w:t>
      </w:r>
      <w:r>
        <w:rPr>
          <w:rFonts w:asciiTheme="majorBidi" w:hAnsiTheme="majorBidi" w:cs="Times New Roman"/>
          <w:sz w:val="24"/>
          <w:szCs w:val="24"/>
          <w:lang w:val="en-ZA"/>
        </w:rPr>
        <w:t>Tébessa) with a sex ratio 2, 08 of in</w:t>
      </w:r>
      <w:r w:rsidRPr="000E1FE3">
        <w:rPr>
          <w:rFonts w:asciiTheme="majorBidi" w:hAnsiTheme="majorBidi" w:cs="Times New Roman"/>
          <w:sz w:val="24"/>
          <w:szCs w:val="24"/>
          <w:lang w:val="en-ZA"/>
        </w:rPr>
        <w:t>favour of the female</w:t>
      </w:r>
      <w:r>
        <w:rPr>
          <w:rFonts w:asciiTheme="majorBidi" w:hAnsiTheme="majorBidi" w:cs="Times New Roman"/>
          <w:sz w:val="24"/>
          <w:szCs w:val="24"/>
          <w:lang w:val="en-ZA"/>
        </w:rPr>
        <w:t xml:space="preserve"> sex</w:t>
      </w:r>
      <w:r w:rsidRPr="000E1FE3">
        <w:rPr>
          <w:rFonts w:asciiTheme="majorBidi" w:hAnsiTheme="majorBidi" w:cs="Times New Roman"/>
          <w:sz w:val="24"/>
          <w:szCs w:val="24"/>
          <w:lang w:val="en-ZA"/>
        </w:rPr>
        <w:t>.</w:t>
      </w:r>
    </w:p>
    <w:p w:rsidR="003F3925" w:rsidRPr="000E1FE3" w:rsidRDefault="003F3925" w:rsidP="003F3925">
      <w:pPr>
        <w:spacing w:line="360" w:lineRule="auto"/>
        <w:ind w:firstLine="708"/>
        <w:jc w:val="both"/>
        <w:rPr>
          <w:rFonts w:asciiTheme="majorBidi" w:hAnsiTheme="majorBidi" w:cs="Times New Roman"/>
          <w:sz w:val="24"/>
          <w:szCs w:val="24"/>
          <w:lang w:val="en-ZA"/>
        </w:rPr>
      </w:pPr>
      <w:r w:rsidRPr="000E1FE3">
        <w:rPr>
          <w:rFonts w:asciiTheme="majorBidi" w:hAnsiTheme="majorBidi" w:cs="Times New Roman"/>
          <w:sz w:val="24"/>
          <w:szCs w:val="24"/>
          <w:lang w:val="en-ZA"/>
        </w:rPr>
        <w:t>Our study confirmed, at first, that there are significant differences in the hepatic balance sheet at the patients achieves of the VHC with regard to witnesses.</w:t>
      </w:r>
      <w:r w:rsidRPr="000E1FE3">
        <w:rPr>
          <w:rFonts w:asciiTheme="majorBidi" w:hAnsiTheme="majorBidi" w:cs="Times New Roman"/>
          <w:sz w:val="24"/>
          <w:szCs w:val="24"/>
          <w:lang w:val="en-ZA"/>
        </w:rPr>
        <w:br/>
        <w:t>Secondly, the comparative study of the lipid balance sheet between both groups (case and witness) revealed significant differences for the rates of cholesterol and the LDL. The infection by the HCV lowers the rates of cholesterols and LDL at the sick.</w:t>
      </w:r>
    </w:p>
    <w:p w:rsidR="003F3925" w:rsidRPr="000E1FE3" w:rsidRDefault="003F3925" w:rsidP="003F3925">
      <w:pPr>
        <w:spacing w:line="360" w:lineRule="auto"/>
        <w:ind w:firstLine="708"/>
        <w:jc w:val="both"/>
        <w:rPr>
          <w:rFonts w:asciiTheme="majorBidi" w:hAnsiTheme="majorBidi" w:cs="Times New Roman"/>
          <w:sz w:val="24"/>
          <w:szCs w:val="24"/>
          <w:lang w:val="en-ZA"/>
        </w:rPr>
      </w:pPr>
      <w:r w:rsidRPr="000E1FE3">
        <w:rPr>
          <w:rFonts w:asciiTheme="majorBidi" w:hAnsiTheme="majorBidi" w:cs="Times New Roman"/>
          <w:sz w:val="24"/>
          <w:szCs w:val="24"/>
          <w:lang w:val="en-ZA"/>
        </w:rPr>
        <w:t>On the other hand, the rates of triglycerides and HDL were not significantly allocated</w:t>
      </w:r>
    </w:p>
    <w:p w:rsidR="003F3925" w:rsidRPr="000E1FE3" w:rsidRDefault="003F3925" w:rsidP="003F3925">
      <w:pPr>
        <w:spacing w:line="360" w:lineRule="auto"/>
        <w:ind w:firstLine="708"/>
        <w:jc w:val="both"/>
        <w:rPr>
          <w:rFonts w:asciiTheme="majorBidi" w:hAnsiTheme="majorBidi" w:cs="Times New Roman"/>
          <w:sz w:val="24"/>
          <w:szCs w:val="24"/>
          <w:lang w:val="en-ZA"/>
        </w:rPr>
      </w:pPr>
      <w:r w:rsidRPr="000E1FE3">
        <w:rPr>
          <w:rFonts w:asciiTheme="majorBidi" w:hAnsiTheme="majorBidi" w:cs="Times New Roman"/>
          <w:sz w:val="24"/>
          <w:szCs w:val="24"/>
          <w:lang w:val="en-ZA"/>
        </w:rPr>
        <w:t>Although the study of the correlation between the lipid parameters influenced by the infection of VHC and the various stages of fibrosis were not significant but a decrease of these parameters in the advanced stages of the fibrosis was noticed.</w:t>
      </w:r>
    </w:p>
    <w:p w:rsidR="003F3925" w:rsidRPr="000E1FE3" w:rsidRDefault="003F3925" w:rsidP="003F3925">
      <w:pPr>
        <w:spacing w:line="360" w:lineRule="auto"/>
        <w:ind w:firstLine="708"/>
        <w:jc w:val="both"/>
        <w:rPr>
          <w:rFonts w:asciiTheme="majorBidi" w:hAnsiTheme="majorBidi" w:cs="Times New Roman"/>
          <w:sz w:val="24"/>
          <w:szCs w:val="24"/>
          <w:lang w:val="en-ZA"/>
        </w:rPr>
      </w:pPr>
      <w:r w:rsidRPr="000E1FE3">
        <w:rPr>
          <w:rFonts w:asciiTheme="majorBidi" w:hAnsiTheme="majorBidi" w:cs="Times New Roman"/>
          <w:sz w:val="24"/>
          <w:szCs w:val="24"/>
          <w:lang w:val="en-ZA"/>
        </w:rPr>
        <w:t>We were able, afterward, to discuss these parameters and their direct relation with the infection by the virus of the hepatitis C. The latter modulates well and truly the metabolism of lipoprotéines and entraine of the disorders the stéatose, the hypocholesterol level and the hypolipoprotéinemie.</w:t>
      </w:r>
    </w:p>
    <w:p w:rsidR="003F3925" w:rsidRPr="003F3925" w:rsidRDefault="003F3925">
      <w:pPr>
        <w:spacing w:after="200" w:line="276" w:lineRule="auto"/>
        <w:rPr>
          <w:rFonts w:asciiTheme="majorBidi" w:hAnsiTheme="majorBidi" w:cstheme="majorBidi"/>
          <w:bCs/>
          <w:sz w:val="28"/>
          <w:szCs w:val="28"/>
          <w:lang w:val="en-US"/>
        </w:rPr>
        <w:sectPr w:rsidR="003F3925" w:rsidRPr="003F3925" w:rsidSect="003F3925">
          <w:headerReference w:type="default" r:id="rId12"/>
          <w:pgSz w:w="11906" w:h="16838"/>
          <w:pgMar w:top="1134" w:right="1134" w:bottom="1134" w:left="1418" w:header="397" w:footer="680" w:gutter="0"/>
          <w:cols w:space="708"/>
          <w:docGrid w:linePitch="360"/>
        </w:sectPr>
      </w:pPr>
      <w:r w:rsidRPr="003F3925">
        <w:rPr>
          <w:rFonts w:ascii="Times New Roman" w:hAnsi="Times New Roman" w:cs="Times New Roman"/>
          <w:b/>
          <w:bCs/>
          <w:sz w:val="24"/>
          <w:szCs w:val="24"/>
          <w:lang w:val="en-US"/>
        </w:rPr>
        <w:t xml:space="preserve">Keywords: </w:t>
      </w:r>
      <w:r w:rsidRPr="003F3925">
        <w:rPr>
          <w:rFonts w:ascii="Times New Roman" w:hAnsi="Times New Roman" w:cs="Times New Roman"/>
          <w:sz w:val="24"/>
          <w:szCs w:val="24"/>
          <w:lang w:val="en-US"/>
        </w:rPr>
        <w:t xml:space="preserve">Hepatitis c, lipid metabolism, lipoprotein </w:t>
      </w:r>
    </w:p>
    <w:p w:rsidR="00BF5DC7" w:rsidRPr="003F3925" w:rsidRDefault="002E51ED" w:rsidP="00BF5DC7">
      <w:pPr>
        <w:jc w:val="center"/>
        <w:rPr>
          <w:rFonts w:asciiTheme="majorBidi" w:hAnsiTheme="majorBidi" w:cs="Times New Roman"/>
          <w:b/>
          <w:bCs/>
          <w:i/>
          <w:iCs/>
          <w:color w:val="7030A0"/>
          <w:sz w:val="40"/>
          <w:szCs w:val="40"/>
        </w:rPr>
      </w:pPr>
      <w:r w:rsidRPr="003F3925">
        <w:rPr>
          <w:rFonts w:asciiTheme="majorBidi" w:hAnsiTheme="majorBidi" w:cs="Times New Roman"/>
          <w:b/>
          <w:bCs/>
          <w:i/>
          <w:iCs/>
          <w:color w:val="7030A0"/>
          <w:sz w:val="40"/>
          <w:szCs w:val="40"/>
        </w:rPr>
        <w:lastRenderedPageBreak/>
        <w:t>Résumé</w:t>
      </w:r>
    </w:p>
    <w:p w:rsidR="00BF5DC7" w:rsidRPr="0025217D" w:rsidRDefault="00BF5DC7" w:rsidP="00BF5DC7">
      <w:pPr>
        <w:spacing w:line="360" w:lineRule="auto"/>
        <w:ind w:firstLine="708"/>
        <w:jc w:val="both"/>
        <w:rPr>
          <w:rFonts w:asciiTheme="majorBidi" w:hAnsiTheme="majorBidi" w:cs="Times New Roman"/>
          <w:bCs/>
          <w:sz w:val="24"/>
          <w:szCs w:val="24"/>
        </w:rPr>
      </w:pPr>
      <w:r w:rsidRPr="002005BC">
        <w:rPr>
          <w:rFonts w:asciiTheme="majorBidi" w:hAnsiTheme="majorBidi" w:cs="Times New Roman"/>
          <w:sz w:val="24"/>
          <w:szCs w:val="24"/>
        </w:rPr>
        <w:t xml:space="preserve">L’infection par le virus de l’hépatite chronique C (VHC) est un problème de santé publique majeur.  Elle </w:t>
      </w:r>
      <w:r w:rsidRPr="002005BC">
        <w:rPr>
          <w:rFonts w:asciiTheme="majorBidi" w:hAnsiTheme="majorBidi" w:cs="Times New Roman"/>
          <w:bCs/>
          <w:sz w:val="24"/>
          <w:szCs w:val="24"/>
        </w:rPr>
        <w:t xml:space="preserve">représente aujourd’hui une des maladies infectieuses les plus fréquentes en  monde et en Algérie. </w:t>
      </w:r>
      <w:r w:rsidRPr="002005BC">
        <w:rPr>
          <w:rFonts w:asciiTheme="majorBidi" w:hAnsiTheme="majorBidi" w:cs="Times New Roman"/>
          <w:sz w:val="24"/>
          <w:szCs w:val="24"/>
        </w:rPr>
        <w:t>Le virus de l'hépatite C, communément appelé VHC, est un virus qui s'attaque au foie et peut entraîner une inflammation et une formation de tissu cicatriciel.</w:t>
      </w:r>
    </w:p>
    <w:p w:rsidR="00BF5DC7" w:rsidRPr="00F870C6" w:rsidRDefault="00BF5DC7" w:rsidP="00BF5DC7">
      <w:pPr>
        <w:autoSpaceDE w:val="0"/>
        <w:autoSpaceDN w:val="0"/>
        <w:adjustRightInd w:val="0"/>
        <w:spacing w:after="0" w:line="360" w:lineRule="auto"/>
        <w:ind w:firstLine="708"/>
        <w:jc w:val="both"/>
        <w:rPr>
          <w:rFonts w:asciiTheme="majorBidi" w:hAnsiTheme="majorBidi" w:cs="Times New Roman"/>
          <w:sz w:val="24"/>
          <w:szCs w:val="24"/>
        </w:rPr>
      </w:pPr>
      <w:r>
        <w:rPr>
          <w:rFonts w:asciiTheme="majorBidi" w:hAnsiTheme="majorBidi" w:cs="Times New Roman"/>
          <w:sz w:val="24"/>
          <w:szCs w:val="24"/>
        </w:rPr>
        <w:t xml:space="preserve">Au cours des dernières années, </w:t>
      </w:r>
      <w:r w:rsidRPr="00F870C6">
        <w:rPr>
          <w:rFonts w:asciiTheme="majorBidi" w:hAnsiTheme="majorBidi" w:cs="Times New Roman"/>
          <w:sz w:val="24"/>
          <w:szCs w:val="24"/>
        </w:rPr>
        <w:t xml:space="preserve">de nombreuses études ont été réalisés </w:t>
      </w:r>
      <w:r>
        <w:rPr>
          <w:rFonts w:asciiTheme="majorBidi" w:hAnsiTheme="majorBidi" w:cs="Times New Roman"/>
          <w:sz w:val="24"/>
          <w:szCs w:val="24"/>
        </w:rPr>
        <w:t xml:space="preserve">pour élucider les </w:t>
      </w:r>
      <w:r w:rsidRPr="00F870C6">
        <w:rPr>
          <w:rFonts w:asciiTheme="majorBidi" w:hAnsiTheme="majorBidi" w:cs="Times New Roman"/>
          <w:sz w:val="24"/>
          <w:szCs w:val="24"/>
        </w:rPr>
        <w:t xml:space="preserve">aspects, cliniques ou expérimentales, </w:t>
      </w:r>
      <w:r>
        <w:rPr>
          <w:rFonts w:asciiTheme="majorBidi" w:hAnsiTheme="majorBidi" w:cs="Times New Roman"/>
          <w:sz w:val="24"/>
          <w:szCs w:val="24"/>
        </w:rPr>
        <w:t xml:space="preserve">désignant </w:t>
      </w:r>
      <w:r w:rsidRPr="00F870C6">
        <w:rPr>
          <w:rFonts w:asciiTheme="majorBidi" w:hAnsiTheme="majorBidi" w:cs="Times New Roman"/>
          <w:sz w:val="24"/>
          <w:szCs w:val="24"/>
        </w:rPr>
        <w:t>une interaction directe du VHC avec le métabolisme lipidique hépatique tant au stade de l’infection que dans ses étapes intracellulaires</w:t>
      </w:r>
      <w:r>
        <w:rPr>
          <w:rFonts w:asciiTheme="majorBidi" w:hAnsiTheme="majorBidi" w:cs="Times New Roman"/>
          <w:sz w:val="24"/>
          <w:szCs w:val="24"/>
        </w:rPr>
        <w:t xml:space="preserve">. Ceci a permis la déviation de l’infection par le VHC </w:t>
      </w:r>
      <w:r w:rsidRPr="00F870C6">
        <w:rPr>
          <w:rFonts w:asciiTheme="majorBidi" w:hAnsiTheme="majorBidi" w:cs="Times New Roman"/>
          <w:sz w:val="24"/>
          <w:szCs w:val="24"/>
        </w:rPr>
        <w:t xml:space="preserve">d’une maladie virale purement hépatique à une maladie métabolique complexe avec des </w:t>
      </w:r>
      <w:r>
        <w:rPr>
          <w:rFonts w:asciiTheme="majorBidi" w:hAnsiTheme="majorBidi" w:cs="Times New Roman"/>
          <w:sz w:val="24"/>
          <w:szCs w:val="24"/>
        </w:rPr>
        <w:t>manifestations</w:t>
      </w:r>
      <w:r w:rsidR="001D4718">
        <w:rPr>
          <w:rFonts w:asciiTheme="majorBidi" w:hAnsiTheme="majorBidi" w:cs="Times New Roman"/>
          <w:sz w:val="24"/>
          <w:szCs w:val="24"/>
        </w:rPr>
        <w:t xml:space="preserve"> </w:t>
      </w:r>
      <w:r w:rsidR="002005BC">
        <w:rPr>
          <w:rFonts w:asciiTheme="majorBidi" w:hAnsiTheme="majorBidi" w:cs="Times New Roman"/>
          <w:sz w:val="24"/>
          <w:szCs w:val="24"/>
        </w:rPr>
        <w:t>extrahépatiques</w:t>
      </w:r>
      <w:r w:rsidR="002005BC">
        <w:rPr>
          <w:rFonts w:asciiTheme="majorBidi" w:hAnsiTheme="majorBidi" w:cs="Times New Roman" w:hint="cs"/>
          <w:sz w:val="24"/>
          <w:szCs w:val="24"/>
          <w:rtl/>
        </w:rPr>
        <w:t>,</w:t>
      </w:r>
    </w:p>
    <w:p w:rsidR="00BF5DC7" w:rsidRDefault="00BF5DC7" w:rsidP="00BF5DC7">
      <w:pPr>
        <w:autoSpaceDE w:val="0"/>
        <w:autoSpaceDN w:val="0"/>
        <w:adjustRightInd w:val="0"/>
        <w:spacing w:after="0" w:line="360" w:lineRule="auto"/>
        <w:jc w:val="both"/>
        <w:rPr>
          <w:sz w:val="23"/>
          <w:szCs w:val="23"/>
        </w:rPr>
      </w:pPr>
    </w:p>
    <w:p w:rsidR="00BF5DC7" w:rsidRDefault="00BF5DC7" w:rsidP="001E60C0">
      <w:pPr>
        <w:spacing w:line="360" w:lineRule="auto"/>
        <w:ind w:firstLine="708"/>
        <w:jc w:val="both"/>
        <w:rPr>
          <w:rFonts w:asciiTheme="majorBidi" w:hAnsiTheme="majorBidi" w:cs="Times New Roman"/>
          <w:bCs/>
          <w:sz w:val="24"/>
          <w:szCs w:val="24"/>
          <w:shd w:val="clear" w:color="auto" w:fill="FFFFFF"/>
        </w:rPr>
      </w:pPr>
      <w:r w:rsidRPr="00F870C6">
        <w:rPr>
          <w:rFonts w:asciiTheme="majorBidi" w:hAnsiTheme="majorBidi" w:cs="Times New Roman"/>
          <w:sz w:val="24"/>
          <w:szCs w:val="24"/>
        </w:rPr>
        <w:t xml:space="preserve">Dans le but de </w:t>
      </w:r>
      <w:r>
        <w:rPr>
          <w:rFonts w:asciiTheme="majorBidi" w:hAnsiTheme="majorBidi" w:cs="Times New Roman"/>
          <w:sz w:val="24"/>
          <w:szCs w:val="24"/>
        </w:rPr>
        <w:t xml:space="preserve">suivre </w:t>
      </w:r>
      <w:r w:rsidRPr="00F870C6">
        <w:rPr>
          <w:rFonts w:asciiTheme="majorBidi" w:hAnsiTheme="majorBidi" w:cs="Times New Roman"/>
          <w:sz w:val="24"/>
          <w:szCs w:val="24"/>
        </w:rPr>
        <w:t>l’influence du VHC sur le métabolisme lipidique</w:t>
      </w:r>
      <w:r>
        <w:rPr>
          <w:rFonts w:asciiTheme="majorBidi" w:hAnsiTheme="majorBidi" w:cs="Times New Roman"/>
          <w:sz w:val="24"/>
          <w:szCs w:val="24"/>
        </w:rPr>
        <w:t xml:space="preserve"> nous avons opté pour </w:t>
      </w:r>
      <w:r w:rsidRPr="00F870C6">
        <w:rPr>
          <w:rFonts w:asciiTheme="majorBidi" w:hAnsiTheme="majorBidi" w:cs="Times New Roman"/>
          <w:sz w:val="24"/>
          <w:szCs w:val="24"/>
        </w:rPr>
        <w:t>une compar</w:t>
      </w:r>
      <w:r>
        <w:rPr>
          <w:rFonts w:asciiTheme="majorBidi" w:hAnsiTheme="majorBidi" w:cs="Times New Roman"/>
          <w:sz w:val="24"/>
          <w:szCs w:val="24"/>
        </w:rPr>
        <w:t xml:space="preserve">aison </w:t>
      </w:r>
      <w:r w:rsidRPr="00F870C6">
        <w:rPr>
          <w:rFonts w:asciiTheme="majorBidi" w:hAnsiTheme="majorBidi" w:cs="Times New Roman"/>
          <w:sz w:val="24"/>
          <w:szCs w:val="24"/>
        </w:rPr>
        <w:t xml:space="preserve">entre </w:t>
      </w:r>
      <w:r>
        <w:rPr>
          <w:rFonts w:ascii="Times New Roman" w:hAnsi="Times New Roman" w:cs="Times New Roman"/>
          <w:bCs/>
          <w:sz w:val="24"/>
          <w:szCs w:val="24"/>
        </w:rPr>
        <w:t>10</w:t>
      </w:r>
      <w:r w:rsidRPr="005558A5">
        <w:rPr>
          <w:rFonts w:ascii="Times New Roman" w:hAnsi="Times New Roman" w:cs="Times New Roman"/>
          <w:bCs/>
          <w:sz w:val="24"/>
          <w:szCs w:val="24"/>
        </w:rPr>
        <w:t xml:space="preserve">0 patients atteints d'hépatite C (cas) et </w:t>
      </w:r>
      <w:r>
        <w:rPr>
          <w:rFonts w:asciiTheme="majorBidi" w:hAnsiTheme="majorBidi" w:cs="Times New Roman"/>
          <w:sz w:val="24"/>
          <w:szCs w:val="24"/>
        </w:rPr>
        <w:t xml:space="preserve">100 </w:t>
      </w:r>
      <w:r w:rsidRPr="00F870C6">
        <w:rPr>
          <w:rFonts w:asciiTheme="majorBidi" w:hAnsiTheme="majorBidi" w:cs="Times New Roman"/>
          <w:sz w:val="24"/>
          <w:szCs w:val="24"/>
        </w:rPr>
        <w:t>témoins sains</w:t>
      </w:r>
      <w:r>
        <w:rPr>
          <w:rFonts w:asciiTheme="majorBidi" w:hAnsiTheme="majorBidi" w:cs="Times New Roman"/>
          <w:sz w:val="24"/>
          <w:szCs w:val="24"/>
        </w:rPr>
        <w:t xml:space="preserve">. </w:t>
      </w:r>
      <w:r>
        <w:rPr>
          <w:rFonts w:ascii="Times New Roman" w:hAnsi="Times New Roman" w:cs="Times New Roman"/>
          <w:bCs/>
          <w:sz w:val="24"/>
          <w:szCs w:val="24"/>
        </w:rPr>
        <w:t>La proportion des malades la</w:t>
      </w:r>
      <w:r w:rsidRPr="005558A5">
        <w:rPr>
          <w:rFonts w:ascii="Times New Roman" w:hAnsi="Times New Roman" w:cs="Times New Roman"/>
          <w:bCs/>
          <w:sz w:val="24"/>
          <w:szCs w:val="24"/>
        </w:rPr>
        <w:t xml:space="preserve"> plus touché</w:t>
      </w:r>
      <w:r>
        <w:rPr>
          <w:rFonts w:ascii="Times New Roman" w:hAnsi="Times New Roman" w:cs="Times New Roman"/>
          <w:bCs/>
          <w:sz w:val="24"/>
          <w:szCs w:val="24"/>
        </w:rPr>
        <w:t>e</w:t>
      </w:r>
      <w:r w:rsidRPr="005558A5">
        <w:rPr>
          <w:rFonts w:ascii="Times New Roman" w:hAnsi="Times New Roman" w:cs="Times New Roman"/>
          <w:bCs/>
          <w:sz w:val="24"/>
          <w:szCs w:val="24"/>
        </w:rPr>
        <w:t xml:space="preserve"> par le VHC est dans les classes d’âge </w:t>
      </w:r>
      <w:r w:rsidR="0058162F">
        <w:rPr>
          <w:rFonts w:ascii="Times New Roman" w:hAnsi="Times New Roman" w:cs="Times New Roman"/>
          <w:bCs/>
          <w:sz w:val="24"/>
          <w:szCs w:val="24"/>
        </w:rPr>
        <w:t>entre 40 et 59</w:t>
      </w:r>
      <w:r>
        <w:rPr>
          <w:rFonts w:ascii="Times New Roman" w:hAnsi="Times New Roman" w:cs="Times New Roman"/>
          <w:bCs/>
          <w:sz w:val="24"/>
          <w:szCs w:val="24"/>
        </w:rPr>
        <w:t xml:space="preserve">. </w:t>
      </w:r>
      <w:r w:rsidRPr="005558A5">
        <w:rPr>
          <w:rFonts w:ascii="Times New Roman" w:hAnsi="Times New Roman" w:cs="Times New Roman"/>
          <w:bCs/>
          <w:sz w:val="24"/>
          <w:szCs w:val="24"/>
        </w:rPr>
        <w:t>Ai</w:t>
      </w:r>
      <w:r>
        <w:rPr>
          <w:rFonts w:ascii="Times New Roman" w:hAnsi="Times New Roman" w:cs="Times New Roman"/>
          <w:bCs/>
          <w:sz w:val="24"/>
          <w:szCs w:val="24"/>
        </w:rPr>
        <w:t xml:space="preserve">nsi, l’hépatite C touche plus les femmes que les </w:t>
      </w:r>
      <w:r w:rsidRPr="005558A5">
        <w:rPr>
          <w:rFonts w:ascii="Times New Roman" w:hAnsi="Times New Roman" w:cs="Times New Roman"/>
          <w:bCs/>
          <w:sz w:val="24"/>
          <w:szCs w:val="24"/>
        </w:rPr>
        <w:t>hommes dans notre région (wilaya de Tébessa)</w:t>
      </w:r>
      <w:r>
        <w:rPr>
          <w:rFonts w:ascii="Times New Roman" w:hAnsi="Times New Roman" w:cs="Times New Roman"/>
          <w:bCs/>
          <w:sz w:val="24"/>
          <w:szCs w:val="24"/>
        </w:rPr>
        <w:t xml:space="preserve"> avec un sexe </w:t>
      </w:r>
      <w:r w:rsidRPr="001E60C0">
        <w:rPr>
          <w:rFonts w:asciiTheme="majorBidi" w:hAnsiTheme="majorBidi" w:cstheme="majorBidi"/>
          <w:bCs/>
          <w:sz w:val="24"/>
          <w:szCs w:val="24"/>
        </w:rPr>
        <w:t>ratio</w:t>
      </w:r>
      <w:r w:rsidR="001E60C0" w:rsidRPr="001E60C0">
        <w:rPr>
          <w:rFonts w:asciiTheme="majorBidi" w:hAnsiTheme="majorBidi" w:cstheme="majorBidi"/>
          <w:sz w:val="24"/>
          <w:szCs w:val="24"/>
          <w:shd w:val="clear" w:color="auto" w:fill="FEFEFE"/>
        </w:rPr>
        <w:t xml:space="preserve"> de 2.20</w:t>
      </w:r>
      <w:r w:rsidR="00194992">
        <w:rPr>
          <w:rFonts w:asciiTheme="majorBidi" w:hAnsiTheme="majorBidi" w:cstheme="majorBidi"/>
          <w:sz w:val="24"/>
          <w:szCs w:val="24"/>
          <w:shd w:val="clear" w:color="auto" w:fill="FEFEFE"/>
        </w:rPr>
        <w:t xml:space="preserve"> </w:t>
      </w:r>
      <w:r>
        <w:rPr>
          <w:rFonts w:ascii="Times New Roman" w:hAnsi="Times New Roman" w:cs="Times New Roman"/>
          <w:bCs/>
          <w:sz w:val="24"/>
          <w:szCs w:val="24"/>
        </w:rPr>
        <w:t>en faveur du sexe féminin.</w:t>
      </w:r>
    </w:p>
    <w:p w:rsidR="00BF5DC7" w:rsidRDefault="00BF5DC7" w:rsidP="00BF5DC7">
      <w:pPr>
        <w:spacing w:line="360" w:lineRule="auto"/>
        <w:ind w:firstLine="708"/>
        <w:jc w:val="both"/>
        <w:rPr>
          <w:rFonts w:asciiTheme="majorBidi" w:hAnsiTheme="majorBidi" w:cs="Times New Roman"/>
          <w:sz w:val="24"/>
          <w:szCs w:val="24"/>
          <w:shd w:val="clear" w:color="auto" w:fill="FFFFFF"/>
        </w:rPr>
      </w:pPr>
      <w:r w:rsidRPr="006A4237">
        <w:rPr>
          <w:rFonts w:ascii="Times New Roman" w:hAnsi="Times New Roman" w:cs="Times New Roman"/>
          <w:bCs/>
          <w:sz w:val="24"/>
          <w:szCs w:val="24"/>
        </w:rPr>
        <w:t>Notre</w:t>
      </w:r>
      <w:r w:rsidR="001D4718">
        <w:rPr>
          <w:rFonts w:ascii="Times New Roman" w:hAnsi="Times New Roman" w:cs="Times New Roman"/>
          <w:bCs/>
          <w:sz w:val="24"/>
          <w:szCs w:val="24"/>
        </w:rPr>
        <w:t xml:space="preserve"> </w:t>
      </w:r>
      <w:r w:rsidRPr="005558A5">
        <w:rPr>
          <w:rFonts w:asciiTheme="majorBidi" w:hAnsiTheme="majorBidi" w:cs="Times New Roman"/>
          <w:sz w:val="24"/>
          <w:szCs w:val="24"/>
        </w:rPr>
        <w:t>étude</w:t>
      </w:r>
      <w:r>
        <w:rPr>
          <w:rFonts w:asciiTheme="majorBidi" w:hAnsiTheme="majorBidi" w:cs="Times New Roman"/>
          <w:sz w:val="24"/>
          <w:szCs w:val="24"/>
        </w:rPr>
        <w:t xml:space="preserve">  a confirmé, dans un premier temps, qu’il existe </w:t>
      </w:r>
      <w:r w:rsidRPr="005558A5">
        <w:rPr>
          <w:rFonts w:ascii="Times New Roman" w:hAnsi="Times New Roman" w:cs="Times New Roman"/>
          <w:bCs/>
          <w:sz w:val="24"/>
          <w:szCs w:val="24"/>
        </w:rPr>
        <w:t>des</w:t>
      </w:r>
      <w:r w:rsidR="001D4718">
        <w:rPr>
          <w:rFonts w:ascii="Times New Roman" w:hAnsi="Times New Roman" w:cs="Times New Roman"/>
          <w:bCs/>
          <w:sz w:val="24"/>
          <w:szCs w:val="24"/>
        </w:rPr>
        <w:t xml:space="preserve"> </w:t>
      </w:r>
      <w:r w:rsidRPr="005558A5">
        <w:rPr>
          <w:rFonts w:asciiTheme="majorBidi" w:hAnsiTheme="majorBidi" w:cs="Times New Roman"/>
          <w:sz w:val="24"/>
          <w:szCs w:val="24"/>
          <w:shd w:val="clear" w:color="auto" w:fill="FFFFFF"/>
        </w:rPr>
        <w:t>différences significatives</w:t>
      </w:r>
      <w:r>
        <w:rPr>
          <w:rFonts w:asciiTheme="majorBidi" w:hAnsiTheme="majorBidi" w:cs="Times New Roman"/>
          <w:sz w:val="24"/>
          <w:szCs w:val="24"/>
          <w:shd w:val="clear" w:color="auto" w:fill="FFFFFF"/>
        </w:rPr>
        <w:t xml:space="preserve"> dans le bilan hépatique </w:t>
      </w:r>
      <w:r w:rsidRPr="005558A5">
        <w:rPr>
          <w:rFonts w:asciiTheme="majorBidi" w:hAnsiTheme="majorBidi" w:cs="Times New Roman"/>
          <w:sz w:val="24"/>
          <w:szCs w:val="24"/>
          <w:shd w:val="clear" w:color="auto" w:fill="FFFFFF"/>
        </w:rPr>
        <w:t xml:space="preserve">chez </w:t>
      </w:r>
      <w:r>
        <w:rPr>
          <w:rFonts w:asciiTheme="majorBidi" w:hAnsiTheme="majorBidi" w:cs="Times New Roman"/>
          <w:sz w:val="24"/>
          <w:szCs w:val="24"/>
          <w:shd w:val="clear" w:color="auto" w:fill="FFFFFF"/>
        </w:rPr>
        <w:t>les patients atteint du VHC par rapport aux témoins.</w:t>
      </w:r>
    </w:p>
    <w:p w:rsidR="00BF5DC7" w:rsidRDefault="00BF5DC7" w:rsidP="00BF5DC7">
      <w:pPr>
        <w:spacing w:line="360" w:lineRule="auto"/>
        <w:ind w:firstLine="708"/>
        <w:jc w:val="both"/>
        <w:rPr>
          <w:rFonts w:ascii="Times New Roman" w:hAnsi="Times New Roman" w:cs="Times New Roman"/>
          <w:sz w:val="24"/>
          <w:szCs w:val="24"/>
        </w:rPr>
      </w:pPr>
      <w:r>
        <w:rPr>
          <w:rFonts w:asciiTheme="majorBidi" w:hAnsiTheme="majorBidi" w:cs="Times New Roman"/>
          <w:sz w:val="24"/>
          <w:szCs w:val="24"/>
          <w:shd w:val="clear" w:color="auto" w:fill="FFFFFF"/>
        </w:rPr>
        <w:t xml:space="preserve">Dans un second temps, l’étude comparative du bilan lipidique entre les deux groupes (cas et témoin) a révélé des différences significatives pour </w:t>
      </w:r>
      <w:r>
        <w:rPr>
          <w:rFonts w:ascii="Times New Roman" w:hAnsi="Times New Roman" w:cs="Times New Roman"/>
          <w:sz w:val="24"/>
          <w:szCs w:val="24"/>
        </w:rPr>
        <w:t>les taux de cholestérol et des LDL. L’infection par le VHC abaisse les taux des cholestérols et des LDL  chez les malades.</w:t>
      </w:r>
    </w:p>
    <w:p w:rsidR="00BF5DC7" w:rsidRDefault="00BF5DC7" w:rsidP="00BF5DC7">
      <w:pPr>
        <w:spacing w:line="360" w:lineRule="auto"/>
        <w:ind w:firstLine="708"/>
        <w:jc w:val="both"/>
        <w:rPr>
          <w:rFonts w:asciiTheme="majorBidi" w:hAnsiTheme="majorBidi" w:cs="Times New Roman"/>
          <w:sz w:val="24"/>
          <w:szCs w:val="24"/>
          <w:shd w:val="clear" w:color="auto" w:fill="FFFFFF"/>
        </w:rPr>
      </w:pPr>
      <w:r>
        <w:rPr>
          <w:rFonts w:ascii="Times New Roman" w:hAnsi="Times New Roman" w:cs="Times New Roman"/>
          <w:sz w:val="24"/>
          <w:szCs w:val="24"/>
        </w:rPr>
        <w:t>En revanche, les taux des triglycérides et des HDL n’ont pas été significativement affectés</w:t>
      </w:r>
      <w:r w:rsidR="001E60C0">
        <w:rPr>
          <w:rFonts w:ascii="Times New Roman" w:hAnsi="Times New Roman" w:cs="Times New Roman"/>
          <w:sz w:val="24"/>
          <w:szCs w:val="24"/>
        </w:rPr>
        <w:t>.</w:t>
      </w:r>
    </w:p>
    <w:p w:rsidR="00BF5DC7" w:rsidRDefault="00BF5DC7" w:rsidP="0002016D">
      <w:pPr>
        <w:spacing w:line="360" w:lineRule="auto"/>
        <w:ind w:firstLine="708"/>
        <w:jc w:val="both"/>
        <w:rPr>
          <w:rFonts w:asciiTheme="majorBidi" w:hAnsiTheme="majorBidi" w:cs="Times New Roman"/>
          <w:sz w:val="24"/>
          <w:szCs w:val="24"/>
          <w:shd w:val="clear" w:color="auto" w:fill="FFFFFF"/>
        </w:rPr>
      </w:pPr>
      <w:r>
        <w:rPr>
          <w:rFonts w:asciiTheme="majorBidi" w:hAnsiTheme="majorBidi" w:cs="Times New Roman"/>
          <w:sz w:val="24"/>
          <w:szCs w:val="24"/>
          <w:shd w:val="clear" w:color="auto" w:fill="FFFFFF"/>
        </w:rPr>
        <w:t xml:space="preserve">Bien que l’étude de la corrélation entre les paramètres lipidiques influencés par l’infection de VHC et les différents stades de fibrose </w:t>
      </w:r>
      <w:r w:rsidR="0002016D" w:rsidRPr="0002016D">
        <w:rPr>
          <w:rFonts w:asciiTheme="majorBidi" w:hAnsiTheme="majorBidi" w:cs="Times New Roman"/>
          <w:sz w:val="24"/>
          <w:szCs w:val="24"/>
          <w:shd w:val="clear" w:color="auto" w:fill="FFFFFF"/>
        </w:rPr>
        <w:t>n’étaient</w:t>
      </w:r>
      <w:r>
        <w:rPr>
          <w:rFonts w:asciiTheme="majorBidi" w:hAnsiTheme="majorBidi" w:cs="Times New Roman"/>
          <w:sz w:val="24"/>
          <w:szCs w:val="24"/>
          <w:shd w:val="clear" w:color="auto" w:fill="FFFFFF"/>
        </w:rPr>
        <w:t xml:space="preserve"> pas significative mais une diminution de ces paramètres dans les stades avancés de la fibrose a été constatée. </w:t>
      </w:r>
    </w:p>
    <w:p w:rsidR="00BF5DC7" w:rsidRDefault="00BF5DC7" w:rsidP="00BF5DC7">
      <w:pPr>
        <w:spacing w:line="360" w:lineRule="auto"/>
        <w:ind w:firstLine="708"/>
        <w:jc w:val="both"/>
        <w:rPr>
          <w:rFonts w:asciiTheme="majorBidi" w:hAnsiTheme="majorBidi" w:cs="Times New Roman"/>
          <w:sz w:val="24"/>
          <w:szCs w:val="24"/>
        </w:rPr>
      </w:pPr>
      <w:r w:rsidRPr="006656AF">
        <w:rPr>
          <w:rFonts w:asciiTheme="majorBidi" w:hAnsiTheme="majorBidi" w:cs="Times New Roman"/>
          <w:sz w:val="24"/>
          <w:szCs w:val="24"/>
        </w:rPr>
        <w:t>Nous avons pu, par la suite, discuter ces paramètres et leur relation directe avec l</w:t>
      </w:r>
      <w:r>
        <w:rPr>
          <w:rFonts w:asciiTheme="majorBidi" w:hAnsiTheme="majorBidi" w:cs="Times New Roman"/>
          <w:sz w:val="24"/>
          <w:szCs w:val="24"/>
        </w:rPr>
        <w:t>’infection par le virus de l’hépatite C</w:t>
      </w:r>
      <w:r w:rsidRPr="006656AF">
        <w:rPr>
          <w:rFonts w:asciiTheme="majorBidi" w:hAnsiTheme="majorBidi" w:cs="Times New Roman"/>
          <w:sz w:val="24"/>
          <w:szCs w:val="24"/>
        </w:rPr>
        <w:t>.</w:t>
      </w:r>
      <w:r>
        <w:rPr>
          <w:rFonts w:asciiTheme="majorBidi" w:hAnsiTheme="majorBidi" w:cs="Times New Roman"/>
          <w:sz w:val="24"/>
          <w:szCs w:val="24"/>
        </w:rPr>
        <w:t xml:space="preserve"> Ce dernier module bel et bien le métabolisme des lipoprotéines et entraine des troubles comme la stéatose, l’hypocholestérolemie et l’hypolipoprotéinemie.</w:t>
      </w:r>
    </w:p>
    <w:p w:rsidR="00F1402E" w:rsidRPr="00BF5DC7" w:rsidRDefault="002E51ED">
      <w:pPr>
        <w:spacing w:after="200" w:line="276" w:lineRule="auto"/>
        <w:rPr>
          <w:rFonts w:asciiTheme="majorBidi" w:hAnsiTheme="majorBidi" w:cstheme="majorBidi"/>
          <w:bCs/>
        </w:rPr>
        <w:sectPr w:rsidR="00F1402E" w:rsidRPr="00BF5DC7" w:rsidSect="00BF5DC7">
          <w:headerReference w:type="default" r:id="rId13"/>
          <w:pgSz w:w="11906" w:h="16838"/>
          <w:pgMar w:top="1134" w:right="1134" w:bottom="1134" w:left="1418" w:header="397" w:footer="680" w:gutter="0"/>
          <w:cols w:space="708"/>
          <w:docGrid w:linePitch="360"/>
        </w:sectPr>
      </w:pPr>
      <w:r w:rsidRPr="005C2AFD">
        <w:rPr>
          <w:rFonts w:ascii="Times New Roman" w:hAnsi="Times New Roman" w:cs="Times New Roman"/>
          <w:b/>
          <w:bCs/>
          <w:sz w:val="24"/>
          <w:szCs w:val="24"/>
        </w:rPr>
        <w:t>Mots clé</w:t>
      </w:r>
      <w:r w:rsidRPr="005C2AFD">
        <w:rPr>
          <w:rFonts w:ascii="Times New Roman" w:hAnsi="Times New Roman" w:cs="Times New Roman"/>
          <w:sz w:val="24"/>
          <w:szCs w:val="24"/>
        </w:rPr>
        <w:t> : hépatite virale C</w:t>
      </w:r>
      <w:r>
        <w:rPr>
          <w:rFonts w:ascii="Times New Roman" w:hAnsi="Times New Roman" w:cs="Times New Roman"/>
          <w:sz w:val="24"/>
          <w:szCs w:val="24"/>
        </w:rPr>
        <w:t>, le métabolisme</w:t>
      </w:r>
      <w:r w:rsidR="003F3925">
        <w:rPr>
          <w:rFonts w:ascii="Times New Roman" w:hAnsi="Times New Roman" w:cs="Times New Roman"/>
          <w:sz w:val="24"/>
          <w:szCs w:val="24"/>
        </w:rPr>
        <w:t xml:space="preserve"> des lipides , les lipoprotéines.</w:t>
      </w:r>
    </w:p>
    <w:p w:rsidR="00BF5DC7" w:rsidRPr="0010728D" w:rsidRDefault="00BF5DC7" w:rsidP="00BF5DC7">
      <w:pPr>
        <w:rPr>
          <w:rFonts w:ascii="Brush Script MT" w:hAnsi="Brush Script MT" w:cs="Times New Roman"/>
          <w:bCs/>
          <w:sz w:val="36"/>
          <w:szCs w:val="36"/>
        </w:rPr>
      </w:pPr>
    </w:p>
    <w:p w:rsidR="00BF5DC7" w:rsidRPr="00AD3B72" w:rsidRDefault="00BF5DC7" w:rsidP="0002016D">
      <w:pPr>
        <w:jc w:val="center"/>
        <w:rPr>
          <w:rFonts w:asciiTheme="majorBidi" w:hAnsiTheme="majorBidi" w:cstheme="majorBidi"/>
          <w:b/>
          <w:i/>
          <w:iCs/>
          <w:color w:val="7030A0"/>
          <w:sz w:val="28"/>
          <w:szCs w:val="28"/>
        </w:rPr>
      </w:pPr>
      <w:r w:rsidRPr="00AD3B72">
        <w:rPr>
          <w:rFonts w:asciiTheme="majorBidi" w:hAnsiTheme="majorBidi" w:cstheme="majorBidi"/>
          <w:b/>
          <w:i/>
          <w:iCs/>
          <w:color w:val="7030A0"/>
          <w:sz w:val="56"/>
          <w:szCs w:val="56"/>
        </w:rPr>
        <w:t>Remerciements</w:t>
      </w:r>
    </w:p>
    <w:p w:rsidR="00BF5DC7" w:rsidRDefault="00BF5DC7" w:rsidP="0002016D">
      <w:pPr>
        <w:jc w:val="center"/>
        <w:rPr>
          <w:rFonts w:ascii="Times New Roman" w:hAnsi="Times New Roman" w:cs="Times New Roman"/>
          <w:i/>
          <w:iCs/>
          <w:sz w:val="24"/>
          <w:szCs w:val="24"/>
        </w:rPr>
      </w:pPr>
    </w:p>
    <w:p w:rsidR="00BF5DC7" w:rsidRDefault="00BF5DC7" w:rsidP="0002016D">
      <w:pPr>
        <w:jc w:val="center"/>
        <w:rPr>
          <w:rFonts w:ascii="Times New Roman" w:hAnsi="Times New Roman" w:cs="Times New Roman"/>
          <w:i/>
          <w:iCs/>
          <w:sz w:val="24"/>
          <w:szCs w:val="24"/>
        </w:rPr>
      </w:pPr>
    </w:p>
    <w:p w:rsidR="0002016D" w:rsidRDefault="0002016D" w:rsidP="0002016D">
      <w:pPr>
        <w:ind w:firstLine="708"/>
        <w:jc w:val="center"/>
        <w:rPr>
          <w:rFonts w:asciiTheme="majorBidi" w:hAnsiTheme="majorBidi" w:cstheme="majorBidi"/>
          <w:bCs/>
          <w:i/>
          <w:iCs/>
          <w:sz w:val="72"/>
          <w:szCs w:val="72"/>
        </w:rPr>
      </w:pPr>
      <w:r>
        <w:rPr>
          <w:rFonts w:asciiTheme="majorBidi" w:hAnsiTheme="majorBidi" w:cstheme="majorBidi"/>
          <w:i/>
          <w:iCs/>
          <w:sz w:val="32"/>
          <w:szCs w:val="32"/>
        </w:rPr>
        <w:t>Nous remercions tout d’abord DIEU tout puissant de nous avoir donné santé, courage et surtout patience pour réaliser ce travail.</w:t>
      </w:r>
    </w:p>
    <w:p w:rsidR="0002016D" w:rsidRDefault="0002016D" w:rsidP="0002016D">
      <w:pPr>
        <w:ind w:firstLine="708"/>
        <w:jc w:val="center"/>
        <w:rPr>
          <w:rFonts w:asciiTheme="majorBidi" w:hAnsiTheme="majorBidi" w:cstheme="majorBidi"/>
          <w:i/>
          <w:iCs/>
          <w:sz w:val="32"/>
          <w:szCs w:val="32"/>
        </w:rPr>
      </w:pPr>
      <w:r>
        <w:rPr>
          <w:rFonts w:asciiTheme="majorBidi" w:hAnsiTheme="majorBidi" w:cstheme="majorBidi"/>
          <w:i/>
          <w:iCs/>
          <w:sz w:val="32"/>
          <w:szCs w:val="32"/>
        </w:rPr>
        <w:t>Nous tenons, par le présent travail, tout d'abord à témoigner notre reconnaissance envers notre encadreur Dr TOUMI Nassima, Maitre de conférences à l’université de Tébessa, département des sciences de la nature et de la vie pour toute son aide, sa disponibilité, sa gentillesse, sa bonne humeur, ses encouragements et ses conseils dans ce projet.</w:t>
      </w:r>
    </w:p>
    <w:p w:rsidR="0002016D" w:rsidRDefault="0002016D" w:rsidP="0002016D">
      <w:pPr>
        <w:ind w:firstLine="708"/>
        <w:jc w:val="center"/>
        <w:rPr>
          <w:rFonts w:asciiTheme="majorBidi" w:hAnsiTheme="majorBidi" w:cstheme="majorBidi"/>
          <w:i/>
          <w:iCs/>
          <w:sz w:val="32"/>
          <w:szCs w:val="32"/>
        </w:rPr>
      </w:pPr>
      <w:r>
        <w:rPr>
          <w:rFonts w:asciiTheme="majorBidi" w:hAnsiTheme="majorBidi" w:cstheme="majorBidi"/>
          <w:i/>
          <w:iCs/>
          <w:sz w:val="32"/>
          <w:szCs w:val="32"/>
        </w:rPr>
        <w:t>Nous tenons également à remercier Mme Belguendouzkarima, vous nous faites un grand honneur en acceptant de présider ce jury.</w:t>
      </w:r>
    </w:p>
    <w:p w:rsidR="0002016D" w:rsidRDefault="0002016D" w:rsidP="0002016D">
      <w:pPr>
        <w:ind w:firstLine="708"/>
        <w:jc w:val="center"/>
        <w:rPr>
          <w:rFonts w:asciiTheme="majorBidi" w:hAnsiTheme="majorBidi" w:cstheme="majorBidi"/>
          <w:i/>
          <w:iCs/>
          <w:sz w:val="32"/>
          <w:szCs w:val="32"/>
        </w:rPr>
      </w:pPr>
      <w:r>
        <w:rPr>
          <w:rFonts w:asciiTheme="majorBidi" w:hAnsiTheme="majorBidi" w:cstheme="majorBidi"/>
          <w:i/>
          <w:iCs/>
          <w:sz w:val="32"/>
          <w:szCs w:val="32"/>
        </w:rPr>
        <w:t>Nos remerciements s’orientent ensuite vers M</w:t>
      </w:r>
      <w:r>
        <w:rPr>
          <w:rFonts w:asciiTheme="majorBidi" w:hAnsiTheme="majorBidi" w:cstheme="majorBidi"/>
          <w:i/>
          <w:iCs/>
          <w:sz w:val="32"/>
          <w:szCs w:val="32"/>
          <w:vertAlign w:val="superscript"/>
        </w:rPr>
        <w:t>lle</w:t>
      </w:r>
      <w:r>
        <w:rPr>
          <w:rFonts w:asciiTheme="majorBidi" w:hAnsiTheme="majorBidi" w:cstheme="majorBidi"/>
          <w:i/>
          <w:iCs/>
          <w:sz w:val="32"/>
          <w:szCs w:val="32"/>
        </w:rPr>
        <w:t xml:space="preserve"> ZIANI Sawsene qui nous a fait l’honneur d’avoir accepté d’examiner et juger ce travail.</w:t>
      </w:r>
    </w:p>
    <w:p w:rsidR="0002016D" w:rsidRDefault="0002016D" w:rsidP="0002016D">
      <w:pPr>
        <w:ind w:firstLine="708"/>
        <w:jc w:val="center"/>
        <w:rPr>
          <w:rFonts w:asciiTheme="majorBidi" w:hAnsiTheme="majorBidi" w:cstheme="majorBidi"/>
          <w:i/>
          <w:iCs/>
          <w:sz w:val="32"/>
          <w:szCs w:val="32"/>
        </w:rPr>
      </w:pPr>
      <w:r>
        <w:rPr>
          <w:rFonts w:asciiTheme="majorBidi" w:hAnsiTheme="majorBidi" w:cstheme="majorBidi"/>
          <w:i/>
          <w:iCs/>
          <w:sz w:val="32"/>
          <w:szCs w:val="32"/>
        </w:rPr>
        <w:t xml:space="preserve">Aussi, nous remercions toute l’équipe, cadres et personnels </w:t>
      </w:r>
      <w:r w:rsidR="00B87FFD">
        <w:rPr>
          <w:rFonts w:asciiTheme="majorBidi" w:hAnsiTheme="majorBidi" w:cstheme="majorBidi"/>
          <w:i/>
          <w:iCs/>
          <w:sz w:val="32"/>
          <w:szCs w:val="32"/>
        </w:rPr>
        <w:t xml:space="preserve">médical de l’hôpital BOUGUERAA </w:t>
      </w:r>
      <w:r>
        <w:rPr>
          <w:rFonts w:asciiTheme="majorBidi" w:hAnsiTheme="majorBidi" w:cstheme="majorBidi"/>
          <w:i/>
          <w:iCs/>
          <w:sz w:val="32"/>
          <w:szCs w:val="32"/>
        </w:rPr>
        <w:t>BOULARESS de Bekkaria, surtout Dr.Nouri Farid</w:t>
      </w:r>
      <w:r w:rsidR="00B87FFD">
        <w:rPr>
          <w:rFonts w:asciiTheme="majorBidi" w:hAnsiTheme="majorBidi" w:cstheme="majorBidi"/>
          <w:i/>
          <w:iCs/>
          <w:sz w:val="32"/>
          <w:szCs w:val="32"/>
        </w:rPr>
        <w:t>a (Médecin spécialiste en</w:t>
      </w:r>
      <w:r>
        <w:rPr>
          <w:rFonts w:asciiTheme="majorBidi" w:hAnsiTheme="majorBidi" w:cstheme="majorBidi"/>
          <w:i/>
          <w:iCs/>
          <w:sz w:val="32"/>
          <w:szCs w:val="32"/>
        </w:rPr>
        <w:t xml:space="preserve"> infectiologie) et Mr.ZoghlamiTidjani (Chef de service de laboratoire des analyses médicales) pour leur accueil chaleureux et leurs conseils pendant notre période de stage.</w:t>
      </w:r>
    </w:p>
    <w:p w:rsidR="0002016D" w:rsidRDefault="0002016D" w:rsidP="0002016D">
      <w:pPr>
        <w:ind w:firstLine="708"/>
        <w:jc w:val="center"/>
        <w:rPr>
          <w:rFonts w:asciiTheme="majorBidi" w:hAnsiTheme="majorBidi" w:cstheme="majorBidi"/>
          <w:i/>
          <w:iCs/>
          <w:sz w:val="32"/>
          <w:szCs w:val="32"/>
        </w:rPr>
      </w:pPr>
      <w:r>
        <w:rPr>
          <w:rFonts w:asciiTheme="majorBidi" w:hAnsiTheme="majorBidi" w:cstheme="majorBidi"/>
          <w:i/>
          <w:iCs/>
          <w:sz w:val="32"/>
          <w:szCs w:val="32"/>
        </w:rPr>
        <w:t>Un grand merci à l’ensemble du personnel médical et les cadres de l’AMG de BACHIR MANTOURI, pour leur accueil chaleureux, leurs aides et leurs conseils pendant notre période de stage.</w:t>
      </w:r>
    </w:p>
    <w:p w:rsidR="0002016D" w:rsidRDefault="0002016D" w:rsidP="0002016D">
      <w:pPr>
        <w:ind w:firstLine="708"/>
        <w:jc w:val="center"/>
        <w:rPr>
          <w:rFonts w:asciiTheme="majorBidi" w:hAnsiTheme="majorBidi" w:cstheme="majorBidi"/>
          <w:i/>
          <w:iCs/>
          <w:sz w:val="32"/>
          <w:szCs w:val="32"/>
        </w:rPr>
      </w:pPr>
      <w:r>
        <w:rPr>
          <w:rFonts w:asciiTheme="majorBidi" w:hAnsiTheme="majorBidi" w:cstheme="majorBidi"/>
          <w:i/>
          <w:iCs/>
          <w:sz w:val="32"/>
          <w:szCs w:val="32"/>
        </w:rPr>
        <w:t>A tous les patients et les personnes  qui ont collaboré pour accomplir notre enquête avec enthousiasme et patience.</w:t>
      </w:r>
    </w:p>
    <w:p w:rsidR="0002016D" w:rsidRDefault="0002016D" w:rsidP="0002016D">
      <w:pPr>
        <w:jc w:val="center"/>
        <w:rPr>
          <w:rFonts w:asciiTheme="majorBidi" w:hAnsiTheme="majorBidi" w:cstheme="majorBidi"/>
          <w:bCs/>
          <w:color w:val="7030A0"/>
          <w:sz w:val="96"/>
          <w:szCs w:val="96"/>
        </w:rPr>
      </w:pPr>
    </w:p>
    <w:p w:rsidR="0000215C" w:rsidRPr="002770E0" w:rsidRDefault="0000215C" w:rsidP="001D4718">
      <w:pPr>
        <w:rPr>
          <w:rFonts w:asciiTheme="majorBidi" w:hAnsiTheme="majorBidi" w:cstheme="majorBidi"/>
          <w:i/>
          <w:iCs/>
          <w:color w:val="7030A0"/>
        </w:rPr>
      </w:pPr>
    </w:p>
    <w:p w:rsidR="001D4718" w:rsidRPr="0000215C" w:rsidRDefault="001D4718" w:rsidP="00194992">
      <w:pPr>
        <w:jc w:val="center"/>
        <w:rPr>
          <w:rFonts w:ascii="Monotype Corsiva" w:hAnsi="Monotype Corsiva" w:cs="FreesiaUPC"/>
          <w:b/>
          <w:color w:val="7030A0"/>
          <w:sz w:val="56"/>
          <w:szCs w:val="56"/>
        </w:rPr>
      </w:pPr>
      <w:r>
        <w:rPr>
          <w:rFonts w:ascii="Monotype Corsiva" w:hAnsi="Monotype Corsiva" w:cs="FreesiaUPC"/>
          <w:b/>
          <w:color w:val="7030A0"/>
          <w:sz w:val="56"/>
          <w:szCs w:val="56"/>
        </w:rPr>
        <w:lastRenderedPageBreak/>
        <w:t>Dédicaces</w:t>
      </w:r>
    </w:p>
    <w:p w:rsidR="001D4718" w:rsidRDefault="001D4718" w:rsidP="001D4718">
      <w:pPr>
        <w:spacing w:line="360" w:lineRule="auto"/>
        <w:jc w:val="center"/>
        <w:rPr>
          <w:rFonts w:asciiTheme="majorBidi" w:hAnsiTheme="majorBidi" w:cstheme="majorBidi"/>
          <w:i/>
          <w:iCs/>
          <w:color w:val="7030A0"/>
          <w:sz w:val="24"/>
          <w:szCs w:val="24"/>
        </w:rPr>
      </w:pPr>
      <w:r>
        <w:rPr>
          <w:rFonts w:asciiTheme="majorBidi" w:hAnsiTheme="majorBidi" w:cstheme="majorBidi"/>
          <w:i/>
          <w:iCs/>
          <w:sz w:val="24"/>
          <w:szCs w:val="24"/>
        </w:rPr>
        <w:t>Merci Allah (mon dieu) de m'avoir donné la capacité d'écrire et de réfléchir, la force d'y croire, la patience d'aller jusqu'au bout du rêve et le bonheur de lever mes mains vers le ciel et de dire "</w:t>
      </w:r>
      <w:r>
        <w:rPr>
          <w:rFonts w:asciiTheme="majorBidi" w:hAnsiTheme="majorBidi" w:cstheme="majorBidi"/>
          <w:i/>
          <w:iCs/>
          <w:color w:val="7030A0"/>
          <w:sz w:val="24"/>
          <w:szCs w:val="24"/>
        </w:rPr>
        <w:t xml:space="preserve"> Ya Kayoum</w:t>
      </w:r>
      <w:r>
        <w:rPr>
          <w:rFonts w:asciiTheme="majorBidi" w:hAnsiTheme="majorBidi" w:cstheme="majorBidi"/>
          <w:i/>
          <w:iCs/>
          <w:sz w:val="24"/>
          <w:szCs w:val="24"/>
        </w:rPr>
        <w:t>"</w:t>
      </w:r>
    </w:p>
    <w:p w:rsidR="001D4718" w:rsidRDefault="001D4718" w:rsidP="001D4718">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Je dédie </w:t>
      </w:r>
      <w:r>
        <w:rPr>
          <w:rFonts w:asciiTheme="majorBidi" w:hAnsiTheme="majorBidi" w:cstheme="majorBidi"/>
          <w:i/>
          <w:iCs/>
          <w:sz w:val="24"/>
          <w:szCs w:val="24"/>
        </w:rPr>
        <w:t>cet humble travail </w:t>
      </w:r>
    </w:p>
    <w:p w:rsidR="001D4718" w:rsidRDefault="001D4718" w:rsidP="001D4718">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 xml:space="preserve">A mes très chers parents qui ont toujours été là pour moi  pour leur amour inestimable, leur confiance, leur soutien et leur patience infinie </w:t>
      </w:r>
    </w:p>
    <w:p w:rsidR="001D4718" w:rsidRDefault="001D4718" w:rsidP="001D4718">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Puisse Dieu, le Très Haut, vous accorder santé, bonheur et longue vie et faire en sorte que jamais je ne vous déçoive</w:t>
      </w:r>
    </w:p>
    <w:p w:rsidR="001D4718" w:rsidRDefault="001D4718" w:rsidP="001D4718">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A madame Toumi Nassima pour son  amour comme une deuxième maman,  sa patience, sa  générosité et son  soutien m'oblige de lui  témoigner mon profond respect et ma loyale considération.</w:t>
      </w:r>
    </w:p>
    <w:p w:rsidR="001D4718" w:rsidRDefault="001D4718" w:rsidP="001D4718">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À tous ceux qui me sont chers et proches, ma sœur Imene Mecheri, mon frère Amine</w:t>
      </w:r>
    </w:p>
    <w:p w:rsidR="001D4718" w:rsidRDefault="001D4718" w:rsidP="001D4718">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 xml:space="preserve"> Ma cousine Zina, mes deux chère et adorable amie Fatma et Ikram, mon binôme Souhaila</w:t>
      </w:r>
    </w:p>
    <w:p w:rsidR="001D4718" w:rsidRDefault="001D4718" w:rsidP="001D4718">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Je vous souhaite du bonheur et du succès dans toute votre vie</w:t>
      </w:r>
    </w:p>
    <w:p w:rsidR="001D4718" w:rsidRDefault="001D4718" w:rsidP="001D4718">
      <w:pPr>
        <w:pStyle w:val="Default"/>
        <w:jc w:val="center"/>
        <w:rPr>
          <w:rFonts w:asciiTheme="majorBidi" w:hAnsiTheme="majorBidi" w:cstheme="majorBidi"/>
          <w:i/>
          <w:iCs/>
        </w:rPr>
      </w:pPr>
      <w:r>
        <w:rPr>
          <w:rFonts w:asciiTheme="majorBidi" w:hAnsiTheme="majorBidi" w:cstheme="majorBidi"/>
          <w:i/>
          <w:iCs/>
        </w:rPr>
        <w:t>À mes chers oncles et tantes spécialement  mes deux tantes, Jallila et Lilia, sans  oublier leurs époux et épouses</w:t>
      </w:r>
    </w:p>
    <w:p w:rsidR="001D4718" w:rsidRDefault="001D4718" w:rsidP="001D4718">
      <w:pPr>
        <w:pStyle w:val="Default"/>
        <w:rPr>
          <w:rFonts w:asciiTheme="majorBidi" w:hAnsiTheme="majorBidi" w:cstheme="majorBidi"/>
          <w:i/>
          <w:iCs/>
        </w:rPr>
      </w:pPr>
    </w:p>
    <w:p w:rsidR="001D4718" w:rsidRDefault="001D4718" w:rsidP="001D4718">
      <w:pPr>
        <w:pStyle w:val="Default"/>
        <w:jc w:val="center"/>
        <w:rPr>
          <w:rFonts w:asciiTheme="majorBidi" w:hAnsiTheme="majorBidi" w:cstheme="majorBidi"/>
          <w:i/>
          <w:iCs/>
        </w:rPr>
      </w:pPr>
      <w:r>
        <w:rPr>
          <w:rFonts w:asciiTheme="majorBidi" w:hAnsiTheme="majorBidi" w:cstheme="majorBidi"/>
          <w:i/>
          <w:iCs/>
        </w:rPr>
        <w:t>Que ce travail soit le témoignage de mon affection et mon attachement</w:t>
      </w:r>
    </w:p>
    <w:p w:rsidR="001D4718" w:rsidRDefault="001D4718" w:rsidP="001D4718">
      <w:pPr>
        <w:pStyle w:val="Default"/>
        <w:jc w:val="center"/>
        <w:rPr>
          <w:rFonts w:asciiTheme="majorBidi" w:hAnsiTheme="majorBidi" w:cstheme="majorBidi"/>
          <w:color w:val="auto"/>
        </w:rPr>
      </w:pPr>
    </w:p>
    <w:p w:rsidR="001D4718" w:rsidRDefault="001D4718" w:rsidP="001D4718">
      <w:pPr>
        <w:tabs>
          <w:tab w:val="center" w:pos="4677"/>
          <w:tab w:val="left" w:pos="5970"/>
        </w:tabs>
        <w:spacing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La mémoire de ma grand-mère maternelle</w:t>
      </w:r>
    </w:p>
    <w:p w:rsidR="001D4718" w:rsidRDefault="001D4718" w:rsidP="001D4718">
      <w:pPr>
        <w:tabs>
          <w:tab w:val="center" w:pos="4677"/>
          <w:tab w:val="left" w:pos="5970"/>
        </w:tabs>
        <w:spacing w:line="360" w:lineRule="auto"/>
        <w:jc w:val="center"/>
        <w:rPr>
          <w:rFonts w:asciiTheme="majorBidi" w:hAnsiTheme="majorBidi" w:cstheme="majorBidi"/>
          <w:i/>
          <w:iCs/>
          <w:sz w:val="24"/>
          <w:szCs w:val="24"/>
        </w:rPr>
      </w:pPr>
      <w:r>
        <w:rPr>
          <w:rFonts w:asciiTheme="majorBidi" w:hAnsiTheme="majorBidi" w:cstheme="majorBidi"/>
          <w:i/>
          <w:iCs/>
          <w:sz w:val="24"/>
          <w:szCs w:val="24"/>
        </w:rPr>
        <w:t>Qui est  toujours dans mon esprit et dans mon cœur, je dédie aujourd’hui ma réussite.</w:t>
      </w:r>
    </w:p>
    <w:p w:rsidR="001D4718" w:rsidRDefault="001D4718" w:rsidP="001D4718">
      <w:pPr>
        <w:tabs>
          <w:tab w:val="center" w:pos="4677"/>
          <w:tab w:val="left" w:pos="5970"/>
        </w:tabs>
        <w:spacing w:line="360" w:lineRule="auto"/>
        <w:jc w:val="center"/>
        <w:rPr>
          <w:rFonts w:asciiTheme="majorBidi" w:hAnsiTheme="majorBidi" w:cstheme="majorBidi"/>
          <w:i/>
          <w:iCs/>
          <w:sz w:val="24"/>
          <w:szCs w:val="24"/>
        </w:rPr>
      </w:pPr>
      <w:r>
        <w:rPr>
          <w:rFonts w:asciiTheme="majorBidi" w:hAnsiTheme="majorBidi" w:cstheme="majorBidi"/>
          <w:i/>
          <w:iCs/>
          <w:sz w:val="24"/>
          <w:szCs w:val="24"/>
        </w:rPr>
        <w:t xml:space="preserve">Je t’aime Ma Aicha tu me manques trop </w:t>
      </w:r>
    </w:p>
    <w:p w:rsidR="001D4718" w:rsidRDefault="001D4718" w:rsidP="001D4718">
      <w:pPr>
        <w:jc w:val="center"/>
        <w:rPr>
          <w:rFonts w:asciiTheme="majorBidi" w:hAnsiTheme="majorBidi" w:cstheme="majorBidi"/>
          <w:i/>
          <w:iCs/>
          <w:sz w:val="24"/>
          <w:szCs w:val="24"/>
        </w:rPr>
      </w:pPr>
      <w:r>
        <w:rPr>
          <w:rFonts w:asciiTheme="majorBidi" w:hAnsiTheme="majorBidi" w:cstheme="majorBidi"/>
          <w:i/>
          <w:iCs/>
          <w:sz w:val="24"/>
          <w:szCs w:val="24"/>
        </w:rPr>
        <w:t>Que Dieu ait ton âme dans sa miséricorde</w:t>
      </w:r>
    </w:p>
    <w:p w:rsidR="001D4718" w:rsidRPr="00BB162E" w:rsidRDefault="001D4718" w:rsidP="001D4718">
      <w:pPr>
        <w:jc w:val="center"/>
        <w:rPr>
          <w:rFonts w:asciiTheme="majorBidi" w:hAnsiTheme="majorBidi" w:cstheme="majorBidi"/>
          <w:i/>
          <w:iCs/>
          <w:color w:val="7030A0"/>
        </w:rPr>
      </w:pPr>
      <w:r w:rsidRPr="00BB162E">
        <w:rPr>
          <w:rFonts w:asciiTheme="majorBidi" w:hAnsiTheme="majorBidi" w:cstheme="majorBidi"/>
          <w:b/>
          <w:bCs/>
          <w:i/>
          <w:iCs/>
          <w:color w:val="7030A0"/>
          <w:sz w:val="36"/>
          <w:szCs w:val="36"/>
        </w:rPr>
        <w:t>Djouini</w:t>
      </w:r>
      <w:r>
        <w:rPr>
          <w:rFonts w:asciiTheme="majorBidi" w:hAnsiTheme="majorBidi" w:cstheme="majorBidi" w:hint="cs"/>
          <w:b/>
          <w:bCs/>
          <w:i/>
          <w:iCs/>
          <w:color w:val="7030A0"/>
          <w:sz w:val="36"/>
          <w:szCs w:val="36"/>
          <w:rtl/>
        </w:rPr>
        <w:t xml:space="preserve"> </w:t>
      </w:r>
      <w:r w:rsidRPr="00BB162E">
        <w:rPr>
          <w:rFonts w:asciiTheme="majorBidi" w:hAnsiTheme="majorBidi" w:cstheme="majorBidi"/>
          <w:b/>
          <w:bCs/>
          <w:i/>
          <w:iCs/>
          <w:color w:val="7030A0"/>
          <w:sz w:val="36"/>
          <w:szCs w:val="36"/>
        </w:rPr>
        <w:t>amira</w:t>
      </w:r>
      <w:r w:rsidRPr="00BB162E">
        <w:rPr>
          <w:rFonts w:asciiTheme="majorBidi" w:hAnsiTheme="majorBidi" w:cstheme="majorBidi"/>
          <w:i/>
          <w:iCs/>
          <w:color w:val="7030A0"/>
        </w:rPr>
        <w:t>&lt;3</w:t>
      </w:r>
    </w:p>
    <w:p w:rsidR="00BF5DC7" w:rsidRDefault="00BF5DC7" w:rsidP="00BF5DC7">
      <w:pPr>
        <w:jc w:val="center"/>
        <w:rPr>
          <w:rFonts w:ascii="Brush Script MT" w:hAnsi="Brush Script MT" w:cs="Times New Roman"/>
          <w:bCs/>
          <w:color w:val="FF3399"/>
          <w:sz w:val="52"/>
          <w:szCs w:val="52"/>
        </w:rPr>
      </w:pPr>
    </w:p>
    <w:p w:rsidR="00F13CB0" w:rsidRPr="0079243F" w:rsidRDefault="00F13CB0" w:rsidP="0079243F">
      <w:pPr>
        <w:spacing w:after="200" w:line="276" w:lineRule="auto"/>
        <w:rPr>
          <w:rFonts w:ascii="Brush Script MT" w:hAnsi="Brush Script MT" w:cs="Times New Roman"/>
          <w:bCs/>
          <w:sz w:val="56"/>
          <w:szCs w:val="56"/>
        </w:rPr>
      </w:pPr>
    </w:p>
    <w:p w:rsidR="00AD3B72" w:rsidRDefault="00AD3B72" w:rsidP="00063B7B">
      <w:pPr>
        <w:spacing w:after="200" w:line="276" w:lineRule="auto"/>
        <w:jc w:val="center"/>
        <w:rPr>
          <w:rFonts w:ascii="Monotype Corsiva" w:hAnsi="Monotype Corsiva" w:cs="Narkisim"/>
          <w:b/>
          <w:bCs/>
          <w:i/>
          <w:iCs/>
          <w:color w:val="7030A0"/>
          <w:sz w:val="48"/>
          <w:szCs w:val="48"/>
        </w:rPr>
      </w:pPr>
    </w:p>
    <w:p w:rsidR="00D43164" w:rsidRPr="00F13CB0" w:rsidRDefault="00D43164" w:rsidP="00063B7B">
      <w:pPr>
        <w:spacing w:after="200" w:line="276" w:lineRule="auto"/>
        <w:jc w:val="center"/>
        <w:rPr>
          <w:rFonts w:ascii="Monotype Corsiva" w:hAnsi="Monotype Corsiva" w:cs="Narkisim"/>
          <w:i/>
          <w:iCs/>
          <w:sz w:val="48"/>
          <w:szCs w:val="48"/>
        </w:rPr>
      </w:pPr>
      <w:r w:rsidRPr="00F13CB0">
        <w:rPr>
          <w:rFonts w:ascii="Monotype Corsiva" w:hAnsi="Monotype Corsiva" w:cs="Narkisim"/>
          <w:b/>
          <w:bCs/>
          <w:i/>
          <w:iCs/>
          <w:color w:val="7030A0"/>
          <w:sz w:val="48"/>
          <w:szCs w:val="48"/>
        </w:rPr>
        <w:lastRenderedPageBreak/>
        <w:t>Dédicace</w:t>
      </w:r>
    </w:p>
    <w:p w:rsidR="00D43164" w:rsidRDefault="00D43164" w:rsidP="00D43164">
      <w:pPr>
        <w:autoSpaceDE w:val="0"/>
        <w:autoSpaceDN w:val="0"/>
        <w:adjustRightInd w:val="0"/>
        <w:spacing w:after="0" w:line="240" w:lineRule="auto"/>
        <w:jc w:val="center"/>
        <w:rPr>
          <w:rFonts w:asciiTheme="majorBidi" w:hAnsiTheme="majorBidi" w:cstheme="majorBidi"/>
          <w:b/>
          <w:bCs/>
          <w:i/>
          <w:iCs/>
          <w:color w:val="7030A0"/>
          <w:sz w:val="28"/>
          <w:szCs w:val="28"/>
        </w:rPr>
      </w:pPr>
    </w:p>
    <w:p w:rsidR="00AD3B72" w:rsidRDefault="00AD3B72" w:rsidP="00D43164">
      <w:pPr>
        <w:autoSpaceDE w:val="0"/>
        <w:autoSpaceDN w:val="0"/>
        <w:adjustRightInd w:val="0"/>
        <w:spacing w:after="0" w:line="240" w:lineRule="auto"/>
        <w:jc w:val="center"/>
        <w:rPr>
          <w:rFonts w:asciiTheme="majorBidi" w:hAnsiTheme="majorBidi" w:cstheme="majorBidi"/>
          <w:b/>
          <w:bCs/>
          <w:i/>
          <w:iCs/>
          <w:color w:val="7030A0"/>
          <w:sz w:val="28"/>
          <w:szCs w:val="28"/>
        </w:rPr>
      </w:pPr>
    </w:p>
    <w:p w:rsidR="00AD3B72" w:rsidRDefault="00AD3B72" w:rsidP="00D43164">
      <w:pPr>
        <w:autoSpaceDE w:val="0"/>
        <w:autoSpaceDN w:val="0"/>
        <w:adjustRightInd w:val="0"/>
        <w:spacing w:after="0" w:line="240" w:lineRule="auto"/>
        <w:jc w:val="center"/>
        <w:rPr>
          <w:rFonts w:asciiTheme="majorBidi" w:hAnsiTheme="majorBidi" w:cstheme="majorBidi"/>
          <w:b/>
          <w:bCs/>
          <w:i/>
          <w:iCs/>
          <w:color w:val="7030A0"/>
          <w:sz w:val="28"/>
          <w:szCs w:val="28"/>
        </w:rPr>
      </w:pPr>
    </w:p>
    <w:p w:rsidR="0002016D" w:rsidRDefault="0002016D" w:rsidP="0002016D">
      <w:pPr>
        <w:autoSpaceDE w:val="0"/>
        <w:autoSpaceDN w:val="0"/>
        <w:adjustRightInd w:val="0"/>
        <w:spacing w:after="0" w:line="240" w:lineRule="auto"/>
        <w:jc w:val="center"/>
        <w:rPr>
          <w:rFonts w:asciiTheme="majorBidi" w:hAnsiTheme="majorBidi" w:cstheme="majorBidi"/>
          <w:b/>
          <w:bCs/>
          <w:i/>
          <w:iCs/>
          <w:color w:val="7030A0"/>
          <w:sz w:val="28"/>
          <w:szCs w:val="28"/>
        </w:rPr>
      </w:pPr>
    </w:p>
    <w:p w:rsidR="00194992" w:rsidRDefault="00194992" w:rsidP="0002016D">
      <w:pPr>
        <w:autoSpaceDE w:val="0"/>
        <w:autoSpaceDN w:val="0"/>
        <w:adjustRightInd w:val="0"/>
        <w:spacing w:after="0" w:line="240" w:lineRule="auto"/>
        <w:jc w:val="center"/>
        <w:rPr>
          <w:rFonts w:asciiTheme="majorBidi" w:hAnsiTheme="majorBidi" w:cstheme="majorBidi"/>
          <w:b/>
          <w:bCs/>
          <w:i/>
          <w:iCs/>
          <w:color w:val="7030A0"/>
          <w:sz w:val="28"/>
          <w:szCs w:val="28"/>
        </w:rPr>
      </w:pP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r>
        <w:rPr>
          <w:rFonts w:asciiTheme="majorBidi" w:hAnsiTheme="majorBidi" w:cstheme="majorBidi"/>
          <w:i/>
          <w:iCs/>
          <w:sz w:val="28"/>
          <w:szCs w:val="28"/>
        </w:rPr>
        <w:t>Tous les mots ne sauraient exprimer la gratitude, l’amour, le respect, la reconnaissance, c’est tout  simplement que : Je dédie ce travail à :</w:t>
      </w: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r>
        <w:rPr>
          <w:rFonts w:asciiTheme="majorBidi" w:hAnsiTheme="majorBidi" w:cstheme="majorBidi"/>
          <w:i/>
          <w:iCs/>
          <w:sz w:val="28"/>
          <w:szCs w:val="28"/>
        </w:rPr>
        <w:t>La mémoire de mon grand-père qui a été toujours dans mon esprit et dans mon cœur, je vous dédie aujourd’hui ma réussite</w:t>
      </w: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r>
        <w:rPr>
          <w:rFonts w:asciiTheme="majorBidi" w:hAnsiTheme="majorBidi" w:cstheme="majorBidi"/>
          <w:i/>
          <w:iCs/>
          <w:sz w:val="28"/>
          <w:szCs w:val="28"/>
        </w:rPr>
        <w:t>A la source de tendresse, de patience et de générosité …. Ma chère grande mère</w:t>
      </w: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r>
        <w:rPr>
          <w:rFonts w:asciiTheme="majorBidi" w:hAnsiTheme="majorBidi" w:cstheme="majorBidi"/>
          <w:i/>
          <w:iCs/>
          <w:sz w:val="28"/>
          <w:szCs w:val="28"/>
        </w:rPr>
        <w:t>A Mon très cher Père Abdelkader : Aucune dédicace ne saurait exprimer l’amour, l’estime, le dévouement et le respect que j’ai toujours pour vous. Merci pour les valeurs nobles, l'éducation et le soutien permanent venu de toi</w:t>
      </w: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r>
        <w:rPr>
          <w:rFonts w:asciiTheme="majorBidi" w:hAnsiTheme="majorBidi" w:cstheme="majorBidi"/>
          <w:i/>
          <w:iCs/>
          <w:sz w:val="28"/>
          <w:szCs w:val="28"/>
        </w:rPr>
        <w:t xml:space="preserve">A ma chère mère pour leur amour inestimable, leur confiance, leur soutien, leurs sacrifices </w:t>
      </w: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p>
    <w:p w:rsidR="0002016D" w:rsidRDefault="0002016D" w:rsidP="0002016D">
      <w:pPr>
        <w:autoSpaceDE w:val="0"/>
        <w:autoSpaceDN w:val="0"/>
        <w:adjustRightInd w:val="0"/>
        <w:spacing w:after="0" w:line="240" w:lineRule="auto"/>
        <w:jc w:val="center"/>
        <w:rPr>
          <w:rFonts w:asciiTheme="majorBidi" w:hAnsiTheme="majorBidi" w:cstheme="majorBidi"/>
          <w:i/>
          <w:iCs/>
          <w:sz w:val="28"/>
          <w:szCs w:val="28"/>
        </w:rPr>
      </w:pPr>
      <w:r>
        <w:rPr>
          <w:rFonts w:asciiTheme="majorBidi" w:hAnsiTheme="majorBidi" w:cstheme="majorBidi"/>
          <w:i/>
          <w:iCs/>
          <w:sz w:val="28"/>
          <w:szCs w:val="28"/>
        </w:rPr>
        <w:t>A mes oncles  Hamid, Zouhir, Cherif, Malek, Adel et Tarek  et mes très chères tantes pour toute l'affection qu'ils m'ont donnée et pour leurs précieux encouragements</w:t>
      </w:r>
    </w:p>
    <w:p w:rsidR="0002016D" w:rsidRDefault="0002016D" w:rsidP="0002016D">
      <w:pPr>
        <w:spacing w:after="200" w:line="276" w:lineRule="auto"/>
        <w:jc w:val="center"/>
        <w:rPr>
          <w:rFonts w:asciiTheme="majorBidi" w:hAnsiTheme="majorBidi" w:cstheme="majorBidi"/>
          <w:bCs/>
          <w:i/>
          <w:iCs/>
          <w:sz w:val="28"/>
          <w:szCs w:val="28"/>
        </w:rPr>
      </w:pPr>
    </w:p>
    <w:p w:rsidR="0002016D" w:rsidRDefault="0002016D" w:rsidP="0002016D">
      <w:pPr>
        <w:spacing w:after="200" w:line="276" w:lineRule="auto"/>
        <w:jc w:val="center"/>
        <w:rPr>
          <w:rFonts w:asciiTheme="majorBidi" w:hAnsiTheme="majorBidi" w:cstheme="majorBidi"/>
          <w:i/>
          <w:iCs/>
          <w:sz w:val="28"/>
          <w:szCs w:val="28"/>
        </w:rPr>
      </w:pPr>
      <w:r>
        <w:rPr>
          <w:rFonts w:asciiTheme="majorBidi" w:hAnsiTheme="majorBidi" w:cstheme="majorBidi"/>
          <w:i/>
          <w:iCs/>
          <w:sz w:val="28"/>
          <w:szCs w:val="28"/>
        </w:rPr>
        <w:t>A tous mes frères et sœurs ainsi que mes cousins et cousines</w:t>
      </w:r>
    </w:p>
    <w:p w:rsidR="0002016D" w:rsidRDefault="0002016D" w:rsidP="0002016D">
      <w:pPr>
        <w:spacing w:after="200" w:line="276" w:lineRule="auto"/>
        <w:jc w:val="center"/>
        <w:rPr>
          <w:rFonts w:asciiTheme="majorBidi" w:hAnsiTheme="majorBidi" w:cstheme="majorBidi"/>
          <w:bCs/>
          <w:i/>
          <w:iCs/>
          <w:sz w:val="28"/>
          <w:szCs w:val="28"/>
        </w:rPr>
      </w:pPr>
      <w:r>
        <w:rPr>
          <w:rFonts w:asciiTheme="majorBidi" w:hAnsiTheme="majorBidi" w:cstheme="majorBidi"/>
          <w:bCs/>
          <w:i/>
          <w:iCs/>
          <w:sz w:val="28"/>
          <w:szCs w:val="28"/>
        </w:rPr>
        <w:t>A mon binôme et mes amis</w:t>
      </w:r>
    </w:p>
    <w:p w:rsidR="0002016D" w:rsidRDefault="0002016D" w:rsidP="0002016D">
      <w:pPr>
        <w:spacing w:after="200" w:line="276" w:lineRule="auto"/>
        <w:jc w:val="center"/>
        <w:rPr>
          <w:rFonts w:asciiTheme="majorBidi" w:hAnsiTheme="majorBidi" w:cstheme="majorBidi"/>
          <w:bCs/>
          <w:i/>
          <w:iCs/>
          <w:sz w:val="28"/>
          <w:szCs w:val="28"/>
        </w:rPr>
      </w:pPr>
      <w:r>
        <w:rPr>
          <w:rFonts w:asciiTheme="majorBidi" w:hAnsiTheme="majorBidi" w:cstheme="majorBidi"/>
          <w:i/>
          <w:iCs/>
          <w:sz w:val="28"/>
          <w:szCs w:val="28"/>
        </w:rPr>
        <w:t>A tous ceux qui, par un mot, m’ont donné la force de continuer …..</w:t>
      </w:r>
    </w:p>
    <w:p w:rsidR="0002016D" w:rsidRDefault="0002016D" w:rsidP="0002016D">
      <w:pPr>
        <w:jc w:val="center"/>
        <w:rPr>
          <w:rFonts w:asciiTheme="majorBidi" w:hAnsiTheme="majorBidi" w:cstheme="majorBidi"/>
          <w:b/>
          <w:bCs/>
          <w:i/>
          <w:iCs/>
          <w:color w:val="7030A0"/>
          <w:sz w:val="32"/>
          <w:szCs w:val="32"/>
        </w:rPr>
      </w:pPr>
      <w:r>
        <w:rPr>
          <w:rFonts w:asciiTheme="majorBidi" w:hAnsiTheme="majorBidi" w:cstheme="majorBidi"/>
          <w:b/>
          <w:bCs/>
          <w:i/>
          <w:iCs/>
          <w:color w:val="7030A0"/>
          <w:sz w:val="32"/>
          <w:szCs w:val="32"/>
        </w:rPr>
        <w:t>Souhaila Ait DjoudiOufella</w:t>
      </w:r>
    </w:p>
    <w:p w:rsidR="00AD3B72" w:rsidRDefault="00AD3B72" w:rsidP="003C680A">
      <w:pPr>
        <w:jc w:val="center"/>
        <w:rPr>
          <w:rFonts w:asciiTheme="majorBidi" w:hAnsiTheme="majorBidi" w:cstheme="majorBidi"/>
          <w:b/>
          <w:bCs/>
          <w:i/>
          <w:iCs/>
          <w:color w:val="7030A0"/>
          <w:sz w:val="32"/>
          <w:szCs w:val="32"/>
        </w:rPr>
      </w:pPr>
    </w:p>
    <w:p w:rsidR="00AD3B72" w:rsidRDefault="00AD3B72" w:rsidP="003C680A">
      <w:pPr>
        <w:jc w:val="center"/>
        <w:rPr>
          <w:rFonts w:asciiTheme="majorBidi" w:hAnsiTheme="majorBidi" w:cstheme="majorBidi"/>
          <w:b/>
          <w:bCs/>
          <w:i/>
          <w:iCs/>
          <w:color w:val="7030A0"/>
          <w:sz w:val="32"/>
          <w:szCs w:val="32"/>
        </w:rPr>
      </w:pPr>
    </w:p>
    <w:p w:rsidR="00AD3B72" w:rsidRDefault="00AD3B72" w:rsidP="00532E6D">
      <w:pPr>
        <w:rPr>
          <w:rFonts w:asciiTheme="majorBidi" w:hAnsiTheme="majorBidi" w:cstheme="majorBidi"/>
          <w:b/>
          <w:bCs/>
          <w:i/>
          <w:iCs/>
          <w:color w:val="7030A0"/>
          <w:sz w:val="32"/>
          <w:szCs w:val="32"/>
        </w:rPr>
      </w:pPr>
    </w:p>
    <w:tbl>
      <w:tblPr>
        <w:tblStyle w:val="Grilledutableau"/>
        <w:tblpPr w:leftFromText="141" w:rightFromText="141" w:vertAnchor="page" w:horzAnchor="margin" w:tblpY="12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9"/>
        <w:gridCol w:w="459"/>
      </w:tblGrid>
      <w:tr w:rsidR="00AD3B72" w:rsidRPr="00522460" w:rsidTr="00532E6D">
        <w:trPr>
          <w:trHeight w:val="1247"/>
        </w:trPr>
        <w:tc>
          <w:tcPr>
            <w:tcW w:w="9069" w:type="dxa"/>
          </w:tcPr>
          <w:p w:rsidR="00AD3B72" w:rsidRPr="0012664B" w:rsidRDefault="00AD3B72" w:rsidP="0044739A">
            <w:pPr>
              <w:spacing w:after="200" w:line="276" w:lineRule="auto"/>
              <w:jc w:val="center"/>
              <w:rPr>
                <w:rFonts w:asciiTheme="majorBidi" w:hAnsiTheme="majorBidi" w:cstheme="majorBidi"/>
                <w:b/>
                <w:bCs/>
                <w:i/>
                <w:iCs/>
                <w:color w:val="7030A0"/>
                <w:sz w:val="44"/>
                <w:szCs w:val="44"/>
              </w:rPr>
            </w:pPr>
            <w:r w:rsidRPr="0012664B">
              <w:rPr>
                <w:rFonts w:asciiTheme="majorBidi" w:hAnsiTheme="majorBidi" w:cstheme="majorBidi"/>
                <w:b/>
                <w:bCs/>
                <w:i/>
                <w:iCs/>
                <w:color w:val="7030A0"/>
                <w:sz w:val="44"/>
                <w:szCs w:val="44"/>
              </w:rPr>
              <w:lastRenderedPageBreak/>
              <w:t>Sommaire</w:t>
            </w:r>
          </w:p>
          <w:p w:rsidR="00AD3B72" w:rsidRDefault="00AD3B72" w:rsidP="00C91FA9">
            <w:pPr>
              <w:spacing w:after="0" w:line="240" w:lineRule="auto"/>
              <w:rPr>
                <w:rFonts w:asciiTheme="majorBidi" w:hAnsiTheme="majorBidi" w:cstheme="majorBidi"/>
                <w:b/>
                <w:bCs/>
                <w:sz w:val="24"/>
                <w:szCs w:val="24"/>
                <w:lang w:bidi="ar-DZ"/>
              </w:rPr>
            </w:pPr>
          </w:p>
          <w:p w:rsidR="00194992" w:rsidRDefault="00194992" w:rsidP="00C91FA9">
            <w:pPr>
              <w:spacing w:after="0" w:line="240" w:lineRule="auto"/>
              <w:rPr>
                <w:rFonts w:asciiTheme="majorBidi" w:hAnsiTheme="majorBidi" w:cstheme="majorBidi"/>
                <w:b/>
                <w:bCs/>
                <w:sz w:val="24"/>
                <w:szCs w:val="24"/>
                <w:lang w:bidi="ar-DZ"/>
              </w:rPr>
            </w:pPr>
          </w:p>
          <w:p w:rsidR="00194992" w:rsidRDefault="00194992" w:rsidP="00C91FA9">
            <w:pPr>
              <w:spacing w:after="0" w:line="240" w:lineRule="auto"/>
              <w:rPr>
                <w:rFonts w:asciiTheme="majorBidi" w:hAnsiTheme="majorBidi" w:cstheme="majorBidi"/>
                <w:b/>
                <w:bCs/>
                <w:sz w:val="24"/>
                <w:szCs w:val="24"/>
                <w:lang w:bidi="ar-DZ"/>
              </w:rPr>
            </w:pPr>
          </w:p>
          <w:p w:rsidR="0044739A" w:rsidRPr="0012664B" w:rsidRDefault="0044739A" w:rsidP="00C91FA9">
            <w:pPr>
              <w:spacing w:after="0" w:line="240" w:lineRule="auto"/>
              <w:rPr>
                <w:rFonts w:asciiTheme="majorBidi" w:hAnsiTheme="majorBidi" w:cstheme="majorBidi"/>
                <w:b/>
                <w:bCs/>
                <w:sz w:val="24"/>
                <w:szCs w:val="24"/>
                <w:rtl/>
                <w:lang w:bidi="ar-DZ"/>
              </w:rPr>
            </w:pP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b/>
                <w:bCs/>
                <w:sz w:val="24"/>
                <w:szCs w:val="24"/>
                <w:rtl/>
                <w:lang w:bidi="ar-DZ"/>
              </w:rPr>
              <w:t>ملخص</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b/>
                <w:bCs/>
                <w:sz w:val="24"/>
                <w:szCs w:val="24"/>
              </w:rPr>
              <w:t>Abstract</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b/>
                <w:bCs/>
                <w:sz w:val="24"/>
                <w:szCs w:val="24"/>
              </w:rPr>
              <w:t>Résumé</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b/>
                <w:bCs/>
                <w:sz w:val="24"/>
                <w:szCs w:val="24"/>
              </w:rPr>
              <w:t>Remerciement</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b/>
                <w:bCs/>
                <w:sz w:val="24"/>
                <w:szCs w:val="24"/>
              </w:rPr>
            </w:pPr>
            <w:r w:rsidRPr="0012664B">
              <w:rPr>
                <w:rFonts w:asciiTheme="majorBidi" w:eastAsia="Times New Roman" w:hAnsiTheme="majorBidi" w:cstheme="majorBidi"/>
                <w:b/>
                <w:bCs/>
                <w:sz w:val="24"/>
                <w:szCs w:val="24"/>
              </w:rPr>
              <w:t>Dédicace</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hAnsiTheme="majorBidi" w:cstheme="majorBidi"/>
                <w:b/>
                <w:bCs/>
                <w:sz w:val="24"/>
                <w:szCs w:val="24"/>
              </w:rPr>
              <w:t>Liste des abréviations</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hAnsiTheme="majorBidi" w:cstheme="majorBidi"/>
                <w:b/>
                <w:bCs/>
                <w:sz w:val="24"/>
                <w:szCs w:val="24"/>
              </w:rPr>
              <w:t>Liste des figures</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hAnsiTheme="majorBidi" w:cstheme="majorBidi"/>
                <w:b/>
                <w:bCs/>
                <w:sz w:val="24"/>
                <w:szCs w:val="24"/>
              </w:rPr>
              <w:t>Liste des tableaux</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hAnsiTheme="majorBidi" w:cstheme="majorBidi"/>
                <w:sz w:val="24"/>
                <w:szCs w:val="24"/>
              </w:rPr>
              <w:t>Introduction…………………………………………………………………………………..</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01</w:t>
            </w: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hAnsiTheme="majorBidi" w:cstheme="majorBidi"/>
                <w:b/>
                <w:sz w:val="24"/>
                <w:szCs w:val="24"/>
              </w:rPr>
              <w:t>Chapitre I : Synthèse bibliographique</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hAnsiTheme="majorBidi" w:cstheme="majorBidi"/>
                <w:b/>
                <w:bCs/>
                <w:sz w:val="24"/>
                <w:szCs w:val="24"/>
              </w:rPr>
              <w:t>I. Le virus de l’hépatite C (VHC)</w:t>
            </w:r>
            <w:r w:rsidRPr="0012664B">
              <w:rPr>
                <w:rFonts w:asciiTheme="majorBidi" w:hAnsiTheme="majorBidi" w:cstheme="majorBidi"/>
                <w:sz w:val="24"/>
                <w:szCs w:val="24"/>
              </w:rPr>
              <w:t xml:space="preserve">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03</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1 .Découverte du VHC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03</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2. Structure et classification du VHC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03</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3. Tropisme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04</w:t>
            </w:r>
          </w:p>
        </w:tc>
      </w:tr>
      <w:tr w:rsidR="00AD3B72" w:rsidRPr="00522460" w:rsidTr="00532E6D">
        <w:tc>
          <w:tcPr>
            <w:tcW w:w="9069" w:type="dxa"/>
          </w:tcPr>
          <w:p w:rsidR="00AD3B72" w:rsidRPr="0012664B" w:rsidRDefault="00AD3B72" w:rsidP="00C91FA9">
            <w:pPr>
              <w:tabs>
                <w:tab w:val="left" w:pos="1109"/>
              </w:tabs>
              <w:spacing w:after="0" w:line="240" w:lineRule="auto"/>
              <w:rPr>
                <w:rFonts w:asciiTheme="majorBidi" w:eastAsia="Times New Roman" w:hAnsiTheme="majorBidi" w:cstheme="majorBidi"/>
              </w:rPr>
            </w:pPr>
            <w:r w:rsidRPr="0012664B">
              <w:rPr>
                <w:rFonts w:asciiTheme="majorBidi" w:hAnsiTheme="majorBidi" w:cstheme="majorBidi"/>
                <w:sz w:val="24"/>
                <w:szCs w:val="24"/>
              </w:rPr>
              <w:t>4. Cycle de réplication ……………………………………………………………………</w:t>
            </w:r>
            <w:r w:rsidRPr="0012664B">
              <w:rPr>
                <w:rFonts w:asciiTheme="majorBidi" w:eastAsia="Times New Roman" w:hAnsiTheme="majorBidi" w:cstheme="majorBidi"/>
              </w:rPr>
              <w:tab/>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4.1. Récepteurs  du  VHC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05</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4.1.1. La protéine CD81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05</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4.1.2. Le récepteur des LDLS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06</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4.1.3. Le récepteur Scavenger BI (SR-BI)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06</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4.2. Entrée du virus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06</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4.2. Entrée du virus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4.4. Réplication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08</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4.5. Assemblage et sécrétion des virions …………………………………………………...</w:t>
            </w:r>
            <w:r w:rsidR="00F27246" w:rsidRPr="0012664B">
              <w:rPr>
                <w:rFonts w:asciiTheme="majorBidi" w:hAnsiTheme="majorBidi" w:cstheme="majorBidi"/>
                <w:sz w:val="24"/>
                <w:szCs w:val="24"/>
              </w:rPr>
              <w:t>..</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09</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5. La variabilité génomique ………………………………………………………………...</w:t>
            </w:r>
            <w:r w:rsidR="00F27246" w:rsidRPr="0012664B">
              <w:rPr>
                <w:rFonts w:asciiTheme="majorBidi" w:hAnsiTheme="majorBidi" w:cstheme="majorBidi"/>
                <w:sz w:val="24"/>
                <w:szCs w:val="24"/>
              </w:rPr>
              <w:t>..</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09</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6. Epidémiologie de l’infection ……………………………………………………………</w:t>
            </w:r>
            <w:r w:rsidR="00F27246" w:rsidRPr="0012664B">
              <w:rPr>
                <w:rFonts w:asciiTheme="majorBidi" w:hAnsiTheme="majorBidi" w:cstheme="majorBidi"/>
                <w:sz w:val="24"/>
                <w:szCs w:val="24"/>
              </w:rPr>
              <w:t>…</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11</w:t>
            </w:r>
          </w:p>
        </w:tc>
      </w:tr>
      <w:tr w:rsidR="00AD3B72" w:rsidRPr="00522460" w:rsidTr="00532E6D">
        <w:tc>
          <w:tcPr>
            <w:tcW w:w="9069" w:type="dxa"/>
          </w:tcPr>
          <w:p w:rsidR="00AD3B72" w:rsidRPr="0012664B" w:rsidRDefault="00AD3B72" w:rsidP="00F27246">
            <w:pPr>
              <w:spacing w:after="0" w:line="240" w:lineRule="auto"/>
              <w:rPr>
                <w:rFonts w:asciiTheme="majorBidi" w:hAnsiTheme="majorBidi" w:cstheme="majorBidi"/>
                <w:sz w:val="24"/>
                <w:szCs w:val="24"/>
              </w:rPr>
            </w:pPr>
            <w:r w:rsidRPr="0012664B">
              <w:rPr>
                <w:rFonts w:asciiTheme="majorBidi" w:hAnsiTheme="majorBidi" w:cstheme="majorBidi"/>
                <w:sz w:val="24"/>
                <w:szCs w:val="24"/>
              </w:rPr>
              <w:t>6.1. Epidémiologie de l’infection dans le monde ………………………………………</w:t>
            </w:r>
            <w:r w:rsidR="00F27246" w:rsidRPr="0012664B">
              <w:rPr>
                <w:rFonts w:asciiTheme="majorBidi" w:hAnsiTheme="majorBidi" w:cstheme="majorBidi"/>
                <w:sz w:val="24"/>
                <w:szCs w:val="24"/>
              </w:rPr>
              <w:t>..</w:t>
            </w:r>
            <w:r w:rsidRPr="0012664B">
              <w:rPr>
                <w:rFonts w:asciiTheme="majorBidi" w:hAnsiTheme="majorBidi" w:cstheme="majorBidi"/>
                <w:sz w:val="24"/>
                <w:szCs w:val="24"/>
              </w:rPr>
              <w:t>…..</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11</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6.2. Epidémiologie de l’infection en Algérie ……………………………………………</w:t>
            </w:r>
            <w:r w:rsidR="00F27246" w:rsidRPr="0012664B">
              <w:rPr>
                <w:rFonts w:asciiTheme="majorBidi" w:hAnsiTheme="majorBidi" w:cstheme="majorBidi"/>
                <w:sz w:val="24"/>
                <w:szCs w:val="24"/>
              </w:rPr>
              <w:t>...</w:t>
            </w:r>
            <w:r w:rsidRPr="0012664B">
              <w:rPr>
                <w:rFonts w:asciiTheme="majorBidi" w:hAnsiTheme="majorBidi" w:cstheme="majorBidi"/>
                <w:sz w:val="24"/>
                <w:szCs w:val="24"/>
              </w:rPr>
              <w:t>…</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11</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7. Mode de transmission du VHC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11</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8. Histoire naturelle de l’infection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12</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b/>
                <w:bCs/>
                <w:sz w:val="24"/>
                <w:szCs w:val="24"/>
              </w:rPr>
              <w:t>II. Le foie : organe central du métabolisme lipidique</w:t>
            </w:r>
            <w:r w:rsidRPr="0012664B">
              <w:rPr>
                <w:rFonts w:asciiTheme="majorBidi" w:hAnsiTheme="majorBidi" w:cstheme="majorBidi"/>
                <w:sz w:val="24"/>
                <w:szCs w:val="24"/>
              </w:rPr>
              <w:t xml:space="preserve">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1 .Anatomie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2. Fonctions du foie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3. Foie et métabolisme des lipides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15</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3.1. Les lipides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15</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3.2. Les Lipoprotéines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15</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3.2.1. Récepteurs des lipoprotéines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3.2.1.1. Récepteur des LDL (LDLR) ou récepteur B/E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3.2.1.2. Récepteur des remnants de chylomicrons et VLDL ou LRP (LDL-ReceptorRelatedProtein)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sz w:val="24"/>
                <w:szCs w:val="24"/>
              </w:rPr>
              <w:t>3.2.1.3. Récepteurs des LDL modifiés ou récepteurs éboueurs (ScavengerReceptor)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hAnsiTheme="majorBidi" w:cstheme="majorBidi"/>
                <w:sz w:val="24"/>
                <w:szCs w:val="24"/>
              </w:rPr>
              <w:t>3.2.2. Enzymes et protéines de transfert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hAnsiTheme="majorBidi" w:cstheme="majorBidi"/>
                <w:sz w:val="24"/>
                <w:szCs w:val="24"/>
              </w:rPr>
              <w:t>3.2.2.1. Enzymes de transfert ………………………………………………………………..</w:t>
            </w:r>
          </w:p>
        </w:tc>
        <w:tc>
          <w:tcPr>
            <w:tcW w:w="45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17</w:t>
            </w:r>
          </w:p>
        </w:tc>
      </w:tr>
      <w:tr w:rsidR="00E158C9" w:rsidRPr="00522460" w:rsidTr="00532E6D">
        <w:tc>
          <w:tcPr>
            <w:tcW w:w="9069" w:type="dxa"/>
          </w:tcPr>
          <w:p w:rsidR="00E158C9" w:rsidRPr="0012664B" w:rsidRDefault="00E158C9"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3.2.2.2. Protéines</w:t>
            </w:r>
            <w:r w:rsidR="000D7877" w:rsidRPr="0012664B">
              <w:rPr>
                <w:rFonts w:asciiTheme="majorBidi" w:hAnsiTheme="majorBidi" w:cstheme="majorBidi"/>
                <w:sz w:val="24"/>
                <w:szCs w:val="24"/>
              </w:rPr>
              <w:t xml:space="preserve"> ……………………………………………………………………………..</w:t>
            </w:r>
          </w:p>
        </w:tc>
        <w:tc>
          <w:tcPr>
            <w:tcW w:w="459" w:type="dxa"/>
          </w:tcPr>
          <w:p w:rsidR="00E158C9"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18</w:t>
            </w:r>
          </w:p>
        </w:tc>
      </w:tr>
      <w:tr w:rsidR="00E158C9" w:rsidRPr="00522460" w:rsidTr="00532E6D">
        <w:tc>
          <w:tcPr>
            <w:tcW w:w="9069" w:type="dxa"/>
          </w:tcPr>
          <w:p w:rsidR="00E158C9" w:rsidRPr="0012664B" w:rsidRDefault="000D7877"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4.1. Voie exogène …………………………………………………………………………….</w:t>
            </w:r>
          </w:p>
        </w:tc>
        <w:tc>
          <w:tcPr>
            <w:tcW w:w="459" w:type="dxa"/>
          </w:tcPr>
          <w:p w:rsidR="00E158C9"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18</w:t>
            </w:r>
          </w:p>
        </w:tc>
      </w:tr>
      <w:tr w:rsidR="00E158C9" w:rsidRPr="00522460" w:rsidTr="00532E6D">
        <w:tc>
          <w:tcPr>
            <w:tcW w:w="9069" w:type="dxa"/>
          </w:tcPr>
          <w:p w:rsidR="00E158C9" w:rsidRPr="0012664B" w:rsidRDefault="000D7877"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lastRenderedPageBreak/>
              <w:t>4.2. Voie endogène …………………………………………………………………………..</w:t>
            </w:r>
          </w:p>
        </w:tc>
        <w:tc>
          <w:tcPr>
            <w:tcW w:w="459" w:type="dxa"/>
          </w:tcPr>
          <w:p w:rsidR="00E158C9"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19</w:t>
            </w:r>
          </w:p>
        </w:tc>
      </w:tr>
      <w:tr w:rsidR="00E158C9" w:rsidRPr="00522460" w:rsidTr="00532E6D">
        <w:tc>
          <w:tcPr>
            <w:tcW w:w="9069" w:type="dxa"/>
          </w:tcPr>
          <w:p w:rsidR="00E158C9" w:rsidRPr="0012664B" w:rsidRDefault="000D7877"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4.3. Voie inverse ……………………………………………………………………………...</w:t>
            </w:r>
          </w:p>
        </w:tc>
        <w:tc>
          <w:tcPr>
            <w:tcW w:w="459" w:type="dxa"/>
          </w:tcPr>
          <w:p w:rsidR="00E158C9"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20</w:t>
            </w:r>
          </w:p>
        </w:tc>
      </w:tr>
      <w:tr w:rsidR="00E158C9" w:rsidRPr="00522460" w:rsidTr="00532E6D">
        <w:tc>
          <w:tcPr>
            <w:tcW w:w="9069" w:type="dxa"/>
          </w:tcPr>
          <w:p w:rsidR="00E158C9" w:rsidRPr="0012664B" w:rsidRDefault="000D7877"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 xml:space="preserve">5. Stockage intra hépatique des lipides ……………………………………………………… </w:t>
            </w:r>
          </w:p>
        </w:tc>
        <w:tc>
          <w:tcPr>
            <w:tcW w:w="459" w:type="dxa"/>
          </w:tcPr>
          <w:p w:rsidR="00E158C9"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22</w:t>
            </w:r>
          </w:p>
        </w:tc>
      </w:tr>
      <w:tr w:rsidR="00E158C9" w:rsidRPr="00522460" w:rsidTr="00532E6D">
        <w:tc>
          <w:tcPr>
            <w:tcW w:w="9069" w:type="dxa"/>
          </w:tcPr>
          <w:p w:rsidR="00E158C9" w:rsidRPr="0012664B" w:rsidRDefault="000D7877"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6. Les gouttelettes lipidiques …………………………………………………………………</w:t>
            </w:r>
          </w:p>
        </w:tc>
        <w:tc>
          <w:tcPr>
            <w:tcW w:w="459" w:type="dxa"/>
          </w:tcPr>
          <w:p w:rsidR="00E158C9"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23</w:t>
            </w:r>
          </w:p>
        </w:tc>
      </w:tr>
      <w:tr w:rsidR="00E158C9" w:rsidRPr="00522460" w:rsidTr="00532E6D">
        <w:tc>
          <w:tcPr>
            <w:tcW w:w="9069" w:type="dxa"/>
          </w:tcPr>
          <w:p w:rsidR="00E158C9" w:rsidRPr="0012664B" w:rsidRDefault="00E158C9"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4. Les trois grandes voies de métabolisme des lipoprotéines</w:t>
            </w:r>
            <w:r w:rsidR="000D7877" w:rsidRPr="0012664B">
              <w:rPr>
                <w:rFonts w:asciiTheme="majorBidi" w:hAnsiTheme="majorBidi" w:cstheme="majorBidi"/>
                <w:sz w:val="24"/>
                <w:szCs w:val="24"/>
              </w:rPr>
              <w:t xml:space="preserve"> ………………………………..</w:t>
            </w:r>
          </w:p>
        </w:tc>
        <w:tc>
          <w:tcPr>
            <w:tcW w:w="459" w:type="dxa"/>
          </w:tcPr>
          <w:p w:rsidR="00E158C9"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24</w:t>
            </w: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hAnsiTheme="majorBidi" w:cstheme="majorBidi"/>
                <w:b/>
                <w:bCs/>
                <w:sz w:val="24"/>
                <w:szCs w:val="24"/>
              </w:rPr>
              <w:t>III. Interaction entre le virus de l’hépatite C et le métabolisme des lipides</w:t>
            </w:r>
            <w:r w:rsidRPr="0012664B">
              <w:rPr>
                <w:rFonts w:asciiTheme="majorBidi" w:hAnsiTheme="majorBidi" w:cstheme="majorBidi"/>
                <w:sz w:val="24"/>
                <w:szCs w:val="24"/>
              </w:rPr>
              <w:t> ……………</w:t>
            </w:r>
          </w:p>
        </w:tc>
        <w:tc>
          <w:tcPr>
            <w:tcW w:w="459" w:type="dxa"/>
          </w:tcPr>
          <w:p w:rsidR="00AD3B72" w:rsidRPr="0012664B" w:rsidRDefault="00E158C9"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26</w:t>
            </w: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1.</w:t>
            </w:r>
            <w:r w:rsidR="001D4718">
              <w:rPr>
                <w:rFonts w:asciiTheme="majorBidi" w:hAnsiTheme="majorBidi" w:cstheme="majorBidi"/>
                <w:sz w:val="24"/>
                <w:szCs w:val="24"/>
              </w:rPr>
              <w:t xml:space="preserve"> </w:t>
            </w:r>
            <w:r w:rsidRPr="0012664B">
              <w:rPr>
                <w:rFonts w:asciiTheme="majorBidi" w:hAnsiTheme="majorBidi" w:cstheme="majorBidi"/>
                <w:sz w:val="24"/>
                <w:szCs w:val="24"/>
              </w:rPr>
              <w:t>Entrée cellulaire du VHC</w:t>
            </w:r>
            <w:r w:rsidRPr="0012664B">
              <w:rPr>
                <w:rFonts w:asciiTheme="majorBidi" w:hAnsiTheme="majorBidi" w:cstheme="majorBidi"/>
                <w:sz w:val="24"/>
                <w:szCs w:val="24"/>
              </w:rPr>
              <w:tab/>
              <w:t>………………………………………………………………...</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26</w:t>
            </w:r>
          </w:p>
        </w:tc>
      </w:tr>
      <w:tr w:rsidR="00AD3B72" w:rsidRPr="00522460" w:rsidTr="00532E6D">
        <w:tc>
          <w:tcPr>
            <w:tcW w:w="9069" w:type="dxa"/>
          </w:tcPr>
          <w:p w:rsidR="00AD3B72" w:rsidRPr="0012664B" w:rsidRDefault="00AD3B72" w:rsidP="00A21FB0">
            <w:pPr>
              <w:pStyle w:val="Paragraphedeliste"/>
              <w:numPr>
                <w:ilvl w:val="1"/>
                <w:numId w:val="7"/>
              </w:numPr>
              <w:spacing w:after="0" w:line="240" w:lineRule="auto"/>
              <w:rPr>
                <w:rFonts w:asciiTheme="majorBidi" w:hAnsiTheme="majorBidi" w:cstheme="majorBidi"/>
                <w:sz w:val="24"/>
                <w:szCs w:val="24"/>
              </w:rPr>
            </w:pPr>
            <w:r w:rsidRPr="0012664B">
              <w:rPr>
                <w:rFonts w:asciiTheme="majorBidi" w:hAnsiTheme="majorBidi" w:cstheme="majorBidi"/>
                <w:sz w:val="24"/>
                <w:szCs w:val="24"/>
              </w:rPr>
              <w:t>facteurs d’attachement …………………………………………………………………...</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26</w:t>
            </w: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1.1.1.</w:t>
            </w:r>
            <w:r w:rsidRPr="0012664B">
              <w:rPr>
                <w:rFonts w:asciiTheme="majorBidi" w:hAnsiTheme="majorBidi" w:cstheme="majorBidi"/>
                <w:sz w:val="24"/>
                <w:szCs w:val="24"/>
              </w:rPr>
              <w:tab/>
              <w:t>Les glycosaminoglycanes ……………………………………………………………</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26</w:t>
            </w:r>
          </w:p>
        </w:tc>
      </w:tr>
      <w:tr w:rsidR="00AD3B72" w:rsidRPr="00522460" w:rsidTr="00532E6D">
        <w:tc>
          <w:tcPr>
            <w:tcW w:w="9069" w:type="dxa"/>
          </w:tcPr>
          <w:p w:rsidR="00AD3B72" w:rsidRPr="0012664B" w:rsidRDefault="00AD3B72" w:rsidP="00A21FB0">
            <w:pPr>
              <w:pStyle w:val="Paragraphedeliste"/>
              <w:numPr>
                <w:ilvl w:val="1"/>
                <w:numId w:val="7"/>
              </w:numPr>
              <w:spacing w:after="0" w:line="240" w:lineRule="auto"/>
              <w:rPr>
                <w:rFonts w:asciiTheme="majorBidi" w:hAnsiTheme="majorBidi" w:cstheme="majorBidi"/>
                <w:sz w:val="24"/>
                <w:szCs w:val="24"/>
              </w:rPr>
            </w:pPr>
            <w:r w:rsidRPr="0012664B">
              <w:rPr>
                <w:rFonts w:asciiTheme="majorBidi" w:hAnsiTheme="majorBidi" w:cstheme="majorBidi"/>
                <w:sz w:val="24"/>
                <w:szCs w:val="24"/>
              </w:rPr>
              <w:t>Les récepteurs ……………………………………………………………………………</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27</w:t>
            </w:r>
          </w:p>
        </w:tc>
      </w:tr>
      <w:tr w:rsidR="00AD3B72" w:rsidRPr="00522460" w:rsidTr="00532E6D">
        <w:tc>
          <w:tcPr>
            <w:tcW w:w="9069" w:type="dxa"/>
          </w:tcPr>
          <w:p w:rsidR="00AD3B72" w:rsidRPr="0012664B" w:rsidRDefault="00AD3B72" w:rsidP="00A21FB0">
            <w:pPr>
              <w:pStyle w:val="Paragraphedeliste"/>
              <w:numPr>
                <w:ilvl w:val="2"/>
                <w:numId w:val="7"/>
              </w:numPr>
              <w:spacing w:after="0" w:line="240" w:lineRule="auto"/>
              <w:rPr>
                <w:rFonts w:asciiTheme="majorBidi" w:hAnsiTheme="majorBidi" w:cstheme="majorBidi"/>
                <w:sz w:val="24"/>
                <w:szCs w:val="24"/>
              </w:rPr>
            </w:pPr>
            <w:r w:rsidRPr="0012664B">
              <w:rPr>
                <w:rFonts w:asciiTheme="majorBidi" w:hAnsiTheme="majorBidi" w:cstheme="majorBidi"/>
                <w:sz w:val="24"/>
                <w:szCs w:val="24"/>
              </w:rPr>
              <w:t>Le récepteur des LDL ………………………………………………………………..</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27</w:t>
            </w: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1.2.2.</w:t>
            </w:r>
            <w:r w:rsidRPr="0012664B">
              <w:rPr>
                <w:rFonts w:asciiTheme="majorBidi" w:hAnsiTheme="majorBidi" w:cstheme="majorBidi"/>
                <w:sz w:val="24"/>
                <w:szCs w:val="24"/>
              </w:rPr>
              <w:tab/>
              <w:t>Le récepteur scavenger SR-BI ………………………………………………………</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27</w:t>
            </w:r>
          </w:p>
        </w:tc>
      </w:tr>
      <w:tr w:rsidR="00AD3B72" w:rsidRPr="00522460" w:rsidTr="00532E6D">
        <w:tc>
          <w:tcPr>
            <w:tcW w:w="9069" w:type="dxa"/>
          </w:tcPr>
          <w:p w:rsidR="00AD3B72" w:rsidRPr="0012664B" w:rsidRDefault="00AD3B72" w:rsidP="00A21FB0">
            <w:pPr>
              <w:pStyle w:val="Paragraphedeliste"/>
              <w:numPr>
                <w:ilvl w:val="2"/>
                <w:numId w:val="7"/>
              </w:numPr>
              <w:spacing w:after="0" w:line="240" w:lineRule="auto"/>
              <w:rPr>
                <w:rFonts w:asciiTheme="majorBidi" w:hAnsiTheme="majorBidi" w:cstheme="majorBidi"/>
                <w:sz w:val="24"/>
                <w:szCs w:val="24"/>
              </w:rPr>
            </w:pPr>
            <w:r w:rsidRPr="0012664B">
              <w:rPr>
                <w:rFonts w:asciiTheme="majorBidi" w:hAnsiTheme="majorBidi" w:cstheme="majorBidi"/>
                <w:sz w:val="24"/>
                <w:szCs w:val="24"/>
              </w:rPr>
              <w:t>La tétraspanine CD-81 ……………………………………………………………….</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27</w:t>
            </w: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 xml:space="preserve">1.2.4. Les protéines claudines ……………………………………………………………….. </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28</w:t>
            </w:r>
          </w:p>
        </w:tc>
      </w:tr>
      <w:tr w:rsidR="00AD3B72" w:rsidRPr="00522460" w:rsidTr="00532E6D">
        <w:tc>
          <w:tcPr>
            <w:tcW w:w="9069" w:type="dxa"/>
          </w:tcPr>
          <w:p w:rsidR="00AD3B72" w:rsidRPr="0012664B" w:rsidRDefault="00AD3B72" w:rsidP="00A21FB0">
            <w:pPr>
              <w:pStyle w:val="Paragraphedeliste"/>
              <w:numPr>
                <w:ilvl w:val="1"/>
                <w:numId w:val="7"/>
              </w:numPr>
              <w:spacing w:after="0" w:line="240" w:lineRule="auto"/>
              <w:rPr>
                <w:rFonts w:asciiTheme="majorBidi" w:hAnsiTheme="majorBidi" w:cstheme="majorBidi"/>
                <w:sz w:val="24"/>
                <w:szCs w:val="24"/>
              </w:rPr>
            </w:pPr>
            <w:r w:rsidRPr="0012664B">
              <w:rPr>
                <w:rFonts w:asciiTheme="majorBidi" w:hAnsiTheme="majorBidi" w:cstheme="majorBidi"/>
                <w:sz w:val="24"/>
                <w:szCs w:val="24"/>
              </w:rPr>
              <w:t xml:space="preserve"> Modèle de l’entrée du VHC dans les cellules cibles</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29</w:t>
            </w: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2.</w:t>
            </w:r>
            <w:r w:rsidR="0044739A">
              <w:rPr>
                <w:rFonts w:asciiTheme="majorBidi" w:hAnsiTheme="majorBidi" w:cstheme="majorBidi"/>
                <w:sz w:val="24"/>
                <w:szCs w:val="24"/>
              </w:rPr>
              <w:t xml:space="preserve"> </w:t>
            </w:r>
            <w:r w:rsidRPr="0012664B">
              <w:rPr>
                <w:rFonts w:asciiTheme="majorBidi" w:hAnsiTheme="majorBidi" w:cstheme="majorBidi"/>
                <w:sz w:val="24"/>
                <w:szCs w:val="24"/>
              </w:rPr>
              <w:t>Rôle des gouttelettes lipidiques et sécrétion des VLDL dans l’assemblage et sécrétion du VHC ………………………………………………………………………………………….</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30</w:t>
            </w: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3.</w:t>
            </w:r>
            <w:r w:rsidR="001D4718">
              <w:rPr>
                <w:rFonts w:asciiTheme="majorBidi" w:hAnsiTheme="majorBidi" w:cstheme="majorBidi"/>
                <w:sz w:val="24"/>
                <w:szCs w:val="24"/>
              </w:rPr>
              <w:t xml:space="preserve"> </w:t>
            </w:r>
            <w:r w:rsidRPr="0012664B">
              <w:rPr>
                <w:rFonts w:asciiTheme="majorBidi" w:hAnsiTheme="majorBidi" w:cstheme="majorBidi"/>
                <w:sz w:val="24"/>
                <w:szCs w:val="24"/>
              </w:rPr>
              <w:t>L’interaction avec la réplication du VHC …………………………………………………</w:t>
            </w:r>
          </w:p>
        </w:tc>
        <w:tc>
          <w:tcPr>
            <w:tcW w:w="459" w:type="dxa"/>
          </w:tcPr>
          <w:p w:rsidR="00AD3B72" w:rsidRPr="0012664B" w:rsidRDefault="000D787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32</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hAnsiTheme="majorBidi" w:cstheme="majorBidi"/>
                <w:b/>
                <w:sz w:val="24"/>
                <w:szCs w:val="24"/>
              </w:rPr>
              <w:t>Chapitre II : Matériel</w:t>
            </w:r>
            <w:r w:rsidR="001D4718">
              <w:rPr>
                <w:rFonts w:asciiTheme="majorBidi" w:hAnsiTheme="majorBidi" w:cstheme="majorBidi"/>
                <w:b/>
                <w:sz w:val="24"/>
                <w:szCs w:val="24"/>
              </w:rPr>
              <w:t>s</w:t>
            </w:r>
            <w:r w:rsidRPr="0012664B">
              <w:rPr>
                <w:rFonts w:asciiTheme="majorBidi" w:hAnsiTheme="majorBidi" w:cstheme="majorBidi"/>
                <w:b/>
                <w:sz w:val="24"/>
                <w:szCs w:val="24"/>
              </w:rPr>
              <w:t xml:space="preserve"> et méthode</w:t>
            </w:r>
            <w:r w:rsidR="001D4718">
              <w:rPr>
                <w:rFonts w:asciiTheme="majorBidi" w:hAnsiTheme="majorBidi" w:cstheme="majorBidi"/>
                <w:b/>
                <w:sz w:val="24"/>
                <w:szCs w:val="24"/>
              </w:rPr>
              <w:t>s</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hAnsiTheme="majorBidi" w:cstheme="majorBidi"/>
                <w:sz w:val="24"/>
                <w:szCs w:val="24"/>
              </w:rPr>
              <w:t>1.Objectif de l’étude ………………………………………………………………………..</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33</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2. Lieu et période d’étude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33</w:t>
            </w:r>
          </w:p>
        </w:tc>
      </w:tr>
      <w:tr w:rsidR="00AD3B72" w:rsidRPr="00522460" w:rsidTr="00532E6D">
        <w:trPr>
          <w:trHeight w:val="258"/>
        </w:trPr>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3. Population d’étude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33</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3.1. Pour le groupe des malades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33</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4.1. Questionnaire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33</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4.2. Données anthropométriques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4.2.1. Taille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4.2.2. Poids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4.2.3. Indice de masse corporelle (IMC) …………………………………………………...</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4.3.  Mesure de tension artérielle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35</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4.4. Le syndrome métabolique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35</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 Prélèvement sanguin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36</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5.1. Dosage des paramètres hépatiques et lipidiques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36</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5.1.1. Dosage des transaminases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36</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5.1.1.1. Dosage de l’aspartate- amino- transférase (ASAT ou TGO) </w:t>
            </w:r>
            <w:r w:rsidRPr="0012664B">
              <w:rPr>
                <w:rFonts w:asciiTheme="majorBidi" w:hAnsiTheme="majorBidi" w:cstheme="majorBidi"/>
                <w:sz w:val="24"/>
                <w:szCs w:val="24"/>
              </w:rPr>
              <w:t>………………………</w:t>
            </w:r>
          </w:p>
        </w:tc>
        <w:tc>
          <w:tcPr>
            <w:tcW w:w="459" w:type="dxa"/>
          </w:tcPr>
          <w:p w:rsidR="00AD3B72" w:rsidRPr="0012664B" w:rsidRDefault="00553717"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36</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5.1.1.2. Dosage de l’alanine- amino-transférase (ALAT ou TGP)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5.1.2. Dosage de la bilirubine (totale et directe)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5.1.3. Dosage d’albumine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38</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5.1.4. Dosage de protéines totales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39</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5.1.5. Dosage de cholestérol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39</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5.1.6. Dosage d’HDL cholestérol et calcul de LDL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40</w:t>
            </w:r>
          </w:p>
        </w:tc>
      </w:tr>
      <w:tr w:rsidR="00AD3B72" w:rsidRPr="00522460" w:rsidTr="00532E6D">
        <w:tc>
          <w:tcPr>
            <w:tcW w:w="9069" w:type="dxa"/>
          </w:tcPr>
          <w:p w:rsidR="00AD3B72" w:rsidRPr="0012664B" w:rsidRDefault="00AD3B72" w:rsidP="00C91FA9">
            <w:pPr>
              <w:spacing w:after="0" w:line="240" w:lineRule="auto"/>
              <w:rPr>
                <w:rFonts w:asciiTheme="majorBidi" w:hAnsiTheme="majorBidi" w:cstheme="majorBidi"/>
                <w:sz w:val="24"/>
                <w:szCs w:val="24"/>
              </w:rPr>
            </w:pPr>
            <w:r w:rsidRPr="0012664B">
              <w:rPr>
                <w:rFonts w:asciiTheme="majorBidi" w:eastAsia="Times New Roman" w:hAnsiTheme="majorBidi" w:cstheme="majorBidi"/>
                <w:sz w:val="24"/>
                <w:szCs w:val="24"/>
              </w:rPr>
              <w:t xml:space="preserve">5.1.7. Dosage de triglycéride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40</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6. Saisie et traitement des données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41</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hAnsiTheme="majorBidi" w:cstheme="majorBidi"/>
                <w:b/>
                <w:sz w:val="24"/>
                <w:szCs w:val="24"/>
              </w:rPr>
              <w:t>Chapitre III : Résultats</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1.Les paramètres sociodémographiques et Biochimiques des patients atteints d’hépatite virale C et des témoins sains …………………………………………………………………</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42</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1.1. Répartition des malades selon  le sexe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42</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1.2. Répartition des malades selon l’âge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42</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1.3. Répartition des malades et des témoins en fonction de l’Index de Masse Corporelle  (IMC)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43</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1.4. Répartition des malades et des témoins en fonction de la présence/absence du syndrome métabolique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1.5. Répartition des malades et des témoins  en fonction des taux d’ASAT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44</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lastRenderedPageBreak/>
              <w:t xml:space="preserve">1.6. Répartition des malades et des témoins  en fonction des taux d’ALAT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45</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1.7. Répartition des malades et des témoins en fonction des taux de bilirubine totale ………</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45</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1.8. Répartition des malades et des témoins en fonction des taux de bilirubine directe ……..</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46</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1.9. Répartition des malades et des témoins en fonction des taux de protéine totale ………..</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46</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1.10. Répartition des malades et des témoins en fonction des taux d’albumine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 xml:space="preserve">1.11. Répartition des malades en fonction des taux de cholestérol </w:t>
            </w:r>
            <w:r w:rsidRPr="0012664B">
              <w:rPr>
                <w:rFonts w:asciiTheme="majorBidi" w:hAnsiTheme="majorBidi" w:cstheme="majorBidi"/>
                <w:sz w:val="24"/>
                <w:szCs w:val="24"/>
              </w:rPr>
              <w:t>……………….................</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47</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1.12. Répartition des malades et des témoins en fonction des taux d’HDL …………………</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48</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1.13. Répartition des malades et des témoins en fonction des taux d’LDL ………………….</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48</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1.14. Répartition des malades et des témoins en fonction des taux de triglycéride ………….</w:t>
            </w:r>
          </w:p>
        </w:tc>
        <w:tc>
          <w:tcPr>
            <w:tcW w:w="459" w:type="dxa"/>
          </w:tcPr>
          <w:p w:rsidR="00AD3B72"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49</w:t>
            </w:r>
          </w:p>
        </w:tc>
      </w:tr>
      <w:tr w:rsidR="00FE71B0" w:rsidRPr="00522460" w:rsidTr="00532E6D">
        <w:tc>
          <w:tcPr>
            <w:tcW w:w="9069" w:type="dxa"/>
          </w:tcPr>
          <w:p w:rsidR="00FE71B0" w:rsidRPr="0012664B" w:rsidRDefault="00FE71B0"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2.Corrélation dans le groupe VHC + entre les paramètres lipidiques et les stades de fibrose hépatique.</w:t>
            </w:r>
            <w:r w:rsidR="00054C74" w:rsidRPr="0012664B">
              <w:rPr>
                <w:rFonts w:asciiTheme="majorBidi" w:hAnsiTheme="majorBidi" w:cstheme="majorBidi"/>
                <w:sz w:val="24"/>
                <w:szCs w:val="24"/>
              </w:rPr>
              <w:t>……………………………………………………………………………………..</w:t>
            </w:r>
          </w:p>
        </w:tc>
        <w:tc>
          <w:tcPr>
            <w:tcW w:w="459" w:type="dxa"/>
          </w:tcPr>
          <w:p w:rsidR="00FE71B0"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49</w:t>
            </w:r>
          </w:p>
        </w:tc>
      </w:tr>
      <w:tr w:rsidR="00FE71B0" w:rsidRPr="00522460" w:rsidTr="00532E6D">
        <w:tc>
          <w:tcPr>
            <w:tcW w:w="9069" w:type="dxa"/>
          </w:tcPr>
          <w:p w:rsidR="00FE71B0" w:rsidRPr="0012664B" w:rsidRDefault="00FE71B0"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2.1. Corrélation dans le groupe VHC + entre le taux de cholestérol et les stades de fibrose hépatique.</w:t>
            </w:r>
            <w:r w:rsidR="00054C74" w:rsidRPr="0012664B">
              <w:rPr>
                <w:rFonts w:asciiTheme="majorBidi" w:hAnsiTheme="majorBidi" w:cstheme="majorBidi"/>
                <w:sz w:val="24"/>
                <w:szCs w:val="24"/>
              </w:rPr>
              <w:t>………………………………………………………………………….…………..</w:t>
            </w:r>
          </w:p>
        </w:tc>
        <w:tc>
          <w:tcPr>
            <w:tcW w:w="459" w:type="dxa"/>
          </w:tcPr>
          <w:p w:rsidR="00FE71B0"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49</w:t>
            </w:r>
          </w:p>
        </w:tc>
      </w:tr>
      <w:tr w:rsidR="00FE71B0" w:rsidRPr="00522460" w:rsidTr="00532E6D">
        <w:tc>
          <w:tcPr>
            <w:tcW w:w="9069" w:type="dxa"/>
          </w:tcPr>
          <w:p w:rsidR="00FE71B0" w:rsidRPr="0012664B" w:rsidRDefault="00054C74"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2.2. Corrélation dans le groupe VHC + entre le taux des LDL  et les stades de fibrose hépatique.</w:t>
            </w:r>
            <w:r w:rsidRPr="0012664B">
              <w:rPr>
                <w:rFonts w:asciiTheme="majorBidi" w:hAnsiTheme="majorBidi" w:cstheme="majorBidi"/>
                <w:sz w:val="24"/>
                <w:szCs w:val="24"/>
              </w:rPr>
              <w:t>…………………………………………………………………………….………..</w:t>
            </w:r>
          </w:p>
        </w:tc>
        <w:tc>
          <w:tcPr>
            <w:tcW w:w="459" w:type="dxa"/>
          </w:tcPr>
          <w:p w:rsidR="00FE71B0"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50</w:t>
            </w:r>
          </w:p>
        </w:tc>
      </w:tr>
      <w:tr w:rsidR="00FE71B0" w:rsidRPr="00522460" w:rsidTr="00532E6D">
        <w:tc>
          <w:tcPr>
            <w:tcW w:w="9069" w:type="dxa"/>
          </w:tcPr>
          <w:p w:rsidR="00FE71B0" w:rsidRPr="0012664B" w:rsidRDefault="00054C74"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2.3. Corrélation dans le groupe VHC + entre le taux des HDL et les stades de fibrose hépatique.</w:t>
            </w:r>
            <w:r w:rsidRPr="0012664B">
              <w:rPr>
                <w:rFonts w:asciiTheme="majorBidi" w:hAnsiTheme="majorBidi" w:cstheme="majorBidi"/>
                <w:sz w:val="24"/>
                <w:szCs w:val="24"/>
              </w:rPr>
              <w:t>……………………………………………………………………………………...</w:t>
            </w:r>
          </w:p>
        </w:tc>
        <w:tc>
          <w:tcPr>
            <w:tcW w:w="459" w:type="dxa"/>
          </w:tcPr>
          <w:p w:rsidR="00FE71B0"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51</w:t>
            </w:r>
          </w:p>
        </w:tc>
      </w:tr>
      <w:tr w:rsidR="00FE71B0" w:rsidRPr="00522460" w:rsidTr="00532E6D">
        <w:tc>
          <w:tcPr>
            <w:tcW w:w="9069" w:type="dxa"/>
          </w:tcPr>
          <w:p w:rsidR="00FE71B0" w:rsidRPr="0012664B" w:rsidRDefault="00054C74" w:rsidP="00C91FA9">
            <w:pPr>
              <w:spacing w:after="0" w:line="240" w:lineRule="auto"/>
              <w:rPr>
                <w:rFonts w:asciiTheme="majorBidi" w:eastAsia="Times New Roman" w:hAnsiTheme="majorBidi" w:cstheme="majorBidi"/>
                <w:sz w:val="24"/>
                <w:szCs w:val="24"/>
              </w:rPr>
            </w:pPr>
            <w:r w:rsidRPr="0012664B">
              <w:rPr>
                <w:rFonts w:asciiTheme="majorBidi" w:eastAsia="Times New Roman" w:hAnsiTheme="majorBidi" w:cstheme="majorBidi"/>
                <w:sz w:val="24"/>
                <w:szCs w:val="24"/>
              </w:rPr>
              <w:t>2.4. Corrélation dans le groupe VHC + entre le taux des triglycérides et les stades de fibrose hépatique.</w:t>
            </w:r>
            <w:r w:rsidRPr="0012664B">
              <w:rPr>
                <w:rFonts w:asciiTheme="majorBidi" w:hAnsiTheme="majorBidi" w:cstheme="majorBidi"/>
                <w:sz w:val="24"/>
                <w:szCs w:val="24"/>
              </w:rPr>
              <w:t>…………………………………………………………………………….………..</w:t>
            </w:r>
          </w:p>
        </w:tc>
        <w:tc>
          <w:tcPr>
            <w:tcW w:w="459" w:type="dxa"/>
          </w:tcPr>
          <w:p w:rsidR="00FE71B0" w:rsidRPr="0012664B" w:rsidRDefault="0012664B" w:rsidP="00C91FA9">
            <w:pPr>
              <w:spacing w:after="0" w:line="240" w:lineRule="auto"/>
              <w:rPr>
                <w:rFonts w:asciiTheme="majorBidi" w:eastAsia="Times New Roman" w:hAnsiTheme="majorBidi" w:cstheme="majorBidi"/>
              </w:rPr>
            </w:pPr>
            <w:r w:rsidRPr="0012664B">
              <w:rPr>
                <w:rFonts w:asciiTheme="majorBidi" w:eastAsia="Times New Roman" w:hAnsiTheme="majorBidi" w:cstheme="majorBidi"/>
              </w:rPr>
              <w:t>51</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b/>
                <w:sz w:val="24"/>
                <w:szCs w:val="24"/>
              </w:rPr>
              <w:t>Chapitre IV : Discussion</w:t>
            </w:r>
          </w:p>
        </w:tc>
        <w:tc>
          <w:tcPr>
            <w:tcW w:w="459" w:type="dxa"/>
          </w:tcPr>
          <w:p w:rsidR="00AD3B72" w:rsidRPr="0012664B" w:rsidRDefault="00AD3B72" w:rsidP="00C91FA9">
            <w:pPr>
              <w:spacing w:after="0" w:line="240" w:lineRule="auto"/>
              <w:rPr>
                <w:rFonts w:asciiTheme="majorBidi" w:eastAsia="Times New Roman" w:hAnsiTheme="majorBidi" w:cstheme="majorBidi"/>
              </w:rPr>
            </w:pPr>
          </w:p>
        </w:tc>
      </w:tr>
      <w:tr w:rsidR="007F3B1A" w:rsidRPr="00522460" w:rsidTr="00532E6D">
        <w:tc>
          <w:tcPr>
            <w:tcW w:w="9069" w:type="dxa"/>
          </w:tcPr>
          <w:p w:rsidR="007F3B1A" w:rsidRPr="0012664B" w:rsidRDefault="007F3B1A" w:rsidP="00C91FA9">
            <w:pPr>
              <w:spacing w:after="0" w:line="240" w:lineRule="auto"/>
              <w:rPr>
                <w:rFonts w:asciiTheme="majorBidi" w:hAnsiTheme="majorBidi" w:cstheme="majorBidi"/>
                <w:b/>
                <w:sz w:val="24"/>
                <w:szCs w:val="24"/>
              </w:rPr>
            </w:pPr>
            <w:r w:rsidRPr="0012664B">
              <w:rPr>
                <w:rFonts w:asciiTheme="majorBidi" w:hAnsiTheme="majorBidi" w:cstheme="majorBidi"/>
                <w:b/>
                <w:sz w:val="24"/>
                <w:szCs w:val="24"/>
              </w:rPr>
              <w:t>Discussion</w:t>
            </w:r>
            <w:r w:rsidRPr="0012664B">
              <w:rPr>
                <w:rFonts w:asciiTheme="majorBidi" w:hAnsiTheme="majorBidi" w:cstheme="majorBidi"/>
                <w:sz w:val="24"/>
                <w:szCs w:val="24"/>
              </w:rPr>
              <w:t>……………………………………………………………………………………</w:t>
            </w:r>
            <w:r>
              <w:rPr>
                <w:rFonts w:asciiTheme="majorBidi" w:hAnsiTheme="majorBidi" w:cstheme="majorBidi"/>
                <w:sz w:val="24"/>
                <w:szCs w:val="24"/>
              </w:rPr>
              <w:t>.</w:t>
            </w:r>
          </w:p>
        </w:tc>
        <w:tc>
          <w:tcPr>
            <w:tcW w:w="459" w:type="dxa"/>
          </w:tcPr>
          <w:p w:rsidR="007F3B1A" w:rsidRPr="0012664B" w:rsidRDefault="007F3B1A" w:rsidP="00C91FA9">
            <w:pPr>
              <w:spacing w:after="0" w:line="240" w:lineRule="auto"/>
              <w:rPr>
                <w:rFonts w:asciiTheme="majorBidi" w:eastAsia="Times New Roman" w:hAnsiTheme="majorBidi" w:cstheme="majorBidi"/>
              </w:rPr>
            </w:pPr>
            <w:r>
              <w:rPr>
                <w:rFonts w:asciiTheme="majorBidi" w:eastAsia="Times New Roman" w:hAnsiTheme="majorBidi" w:cstheme="majorBidi"/>
              </w:rPr>
              <w:t>52</w:t>
            </w:r>
          </w:p>
        </w:tc>
      </w:tr>
      <w:tr w:rsidR="00AD3B72" w:rsidRPr="00522460" w:rsidTr="00532E6D">
        <w:tc>
          <w:tcPr>
            <w:tcW w:w="9069" w:type="dxa"/>
          </w:tcPr>
          <w:p w:rsidR="00AD3B72" w:rsidRPr="0012664B" w:rsidRDefault="00AD3B72" w:rsidP="00C91FA9">
            <w:pPr>
              <w:spacing w:after="0" w:line="240" w:lineRule="auto"/>
              <w:rPr>
                <w:rFonts w:asciiTheme="majorBidi" w:eastAsia="Times New Roman" w:hAnsiTheme="majorBidi" w:cstheme="majorBidi"/>
              </w:rPr>
            </w:pPr>
            <w:r w:rsidRPr="0012664B">
              <w:rPr>
                <w:rFonts w:asciiTheme="majorBidi" w:hAnsiTheme="majorBidi" w:cstheme="majorBidi"/>
                <w:b/>
                <w:sz w:val="24"/>
                <w:szCs w:val="24"/>
              </w:rPr>
              <w:t>Conclusion</w:t>
            </w:r>
            <w:r w:rsidRPr="0012664B">
              <w:rPr>
                <w:rFonts w:asciiTheme="majorBidi" w:hAnsiTheme="majorBidi" w:cstheme="majorBidi"/>
                <w:sz w:val="24"/>
                <w:szCs w:val="24"/>
              </w:rPr>
              <w:t>……………………………………………………………………………………</w:t>
            </w:r>
          </w:p>
        </w:tc>
        <w:tc>
          <w:tcPr>
            <w:tcW w:w="459" w:type="dxa"/>
          </w:tcPr>
          <w:p w:rsidR="00AD3B72" w:rsidRPr="0012664B" w:rsidRDefault="0012664B" w:rsidP="007F3B1A">
            <w:pPr>
              <w:spacing w:after="0" w:line="240" w:lineRule="auto"/>
              <w:rPr>
                <w:rFonts w:asciiTheme="majorBidi" w:eastAsia="Times New Roman" w:hAnsiTheme="majorBidi" w:cstheme="majorBidi"/>
              </w:rPr>
            </w:pPr>
            <w:r w:rsidRPr="0012664B">
              <w:rPr>
                <w:rFonts w:asciiTheme="majorBidi" w:eastAsia="Times New Roman" w:hAnsiTheme="majorBidi" w:cstheme="majorBidi"/>
              </w:rPr>
              <w:t>5</w:t>
            </w:r>
            <w:r w:rsidR="00532E6D">
              <w:rPr>
                <w:rFonts w:asciiTheme="majorBidi" w:eastAsia="Times New Roman" w:hAnsiTheme="majorBidi" w:cstheme="majorBidi"/>
              </w:rPr>
              <w:t>6</w:t>
            </w:r>
          </w:p>
        </w:tc>
      </w:tr>
      <w:tr w:rsidR="00AD3B72" w:rsidRPr="00522460" w:rsidTr="00532E6D">
        <w:tc>
          <w:tcPr>
            <w:tcW w:w="9069" w:type="dxa"/>
          </w:tcPr>
          <w:p w:rsidR="00AD3B72" w:rsidRPr="00C83FEF" w:rsidRDefault="00AD3B72" w:rsidP="00C91FA9">
            <w:pPr>
              <w:spacing w:after="0" w:line="240" w:lineRule="auto"/>
              <w:rPr>
                <w:rFonts w:asciiTheme="majorBidi" w:hAnsiTheme="majorBidi" w:cstheme="majorBidi"/>
                <w:b/>
                <w:sz w:val="24"/>
                <w:szCs w:val="24"/>
              </w:rPr>
            </w:pPr>
            <w:r w:rsidRPr="00C83FEF">
              <w:rPr>
                <w:rFonts w:asciiTheme="majorBidi" w:hAnsiTheme="majorBidi" w:cstheme="majorBidi"/>
                <w:b/>
                <w:sz w:val="24"/>
                <w:szCs w:val="24"/>
              </w:rPr>
              <w:t>Bibliographi</w:t>
            </w:r>
            <w:r>
              <w:rPr>
                <w:rFonts w:asciiTheme="majorBidi" w:hAnsiTheme="majorBidi" w:cstheme="majorBidi"/>
                <w:b/>
                <w:sz w:val="24"/>
                <w:szCs w:val="24"/>
              </w:rPr>
              <w:t>e</w:t>
            </w:r>
          </w:p>
        </w:tc>
        <w:tc>
          <w:tcPr>
            <w:tcW w:w="459" w:type="dxa"/>
          </w:tcPr>
          <w:p w:rsidR="00AD3B72" w:rsidRPr="00522460" w:rsidRDefault="00AD3B72" w:rsidP="00C91FA9">
            <w:pPr>
              <w:spacing w:after="0" w:line="240" w:lineRule="auto"/>
              <w:rPr>
                <w:rFonts w:eastAsia="Times New Roman"/>
              </w:rPr>
            </w:pPr>
          </w:p>
        </w:tc>
      </w:tr>
      <w:tr w:rsidR="00AD3B72" w:rsidRPr="00522460" w:rsidTr="00532E6D">
        <w:tc>
          <w:tcPr>
            <w:tcW w:w="9069" w:type="dxa"/>
          </w:tcPr>
          <w:p w:rsidR="00AD3B72" w:rsidRPr="00C83FEF" w:rsidRDefault="00AD3B72" w:rsidP="00C91FA9">
            <w:pPr>
              <w:spacing w:after="0" w:line="240" w:lineRule="auto"/>
              <w:rPr>
                <w:rFonts w:asciiTheme="majorBidi" w:hAnsiTheme="majorBidi" w:cstheme="majorBidi"/>
                <w:b/>
                <w:sz w:val="24"/>
                <w:szCs w:val="24"/>
              </w:rPr>
            </w:pPr>
            <w:r w:rsidRPr="00C83FEF">
              <w:rPr>
                <w:rFonts w:asciiTheme="majorBidi" w:hAnsiTheme="majorBidi" w:cstheme="majorBidi"/>
                <w:b/>
                <w:sz w:val="24"/>
                <w:szCs w:val="24"/>
              </w:rPr>
              <w:t>Annexe</w:t>
            </w:r>
          </w:p>
        </w:tc>
        <w:tc>
          <w:tcPr>
            <w:tcW w:w="459" w:type="dxa"/>
          </w:tcPr>
          <w:p w:rsidR="00AD3B72" w:rsidRPr="00522460" w:rsidRDefault="00AD3B72" w:rsidP="00C91FA9">
            <w:pPr>
              <w:spacing w:after="0" w:line="240" w:lineRule="auto"/>
              <w:rPr>
                <w:rFonts w:eastAsia="Times New Roman"/>
              </w:rPr>
            </w:pPr>
          </w:p>
        </w:tc>
      </w:tr>
      <w:tr w:rsidR="00AD3B72" w:rsidRPr="00522460" w:rsidTr="00532E6D">
        <w:tc>
          <w:tcPr>
            <w:tcW w:w="9069" w:type="dxa"/>
          </w:tcPr>
          <w:p w:rsidR="00AD3B72" w:rsidRPr="00C83FEF" w:rsidRDefault="00AD3B72" w:rsidP="00C91FA9">
            <w:pPr>
              <w:spacing w:after="0" w:line="240" w:lineRule="auto"/>
              <w:rPr>
                <w:rFonts w:asciiTheme="majorBidi" w:hAnsiTheme="majorBidi" w:cstheme="majorBidi"/>
                <w:b/>
                <w:sz w:val="24"/>
                <w:szCs w:val="24"/>
              </w:rPr>
            </w:pPr>
            <w:r w:rsidRPr="00C83FEF">
              <w:rPr>
                <w:rFonts w:asciiTheme="majorBidi" w:hAnsiTheme="majorBidi" w:cstheme="majorBidi"/>
                <w:b/>
                <w:sz w:val="24"/>
                <w:szCs w:val="24"/>
              </w:rPr>
              <w:t>Fiche de patient</w:t>
            </w:r>
          </w:p>
        </w:tc>
        <w:tc>
          <w:tcPr>
            <w:tcW w:w="459" w:type="dxa"/>
          </w:tcPr>
          <w:p w:rsidR="00AD3B72" w:rsidRPr="00522460" w:rsidRDefault="00AD3B72" w:rsidP="00C91FA9">
            <w:pPr>
              <w:spacing w:after="0" w:line="240" w:lineRule="auto"/>
              <w:rPr>
                <w:rFonts w:eastAsia="Times New Roman"/>
              </w:rPr>
            </w:pPr>
          </w:p>
        </w:tc>
      </w:tr>
    </w:tbl>
    <w:p w:rsidR="00AD3B72" w:rsidRDefault="00AD3B72" w:rsidP="003C680A">
      <w:pPr>
        <w:jc w:val="center"/>
        <w:rPr>
          <w:rFonts w:asciiTheme="majorBidi" w:hAnsiTheme="majorBidi" w:cstheme="majorBidi"/>
          <w:b/>
          <w:bCs/>
          <w:i/>
          <w:iCs/>
          <w:color w:val="7030A0"/>
          <w:sz w:val="32"/>
          <w:szCs w:val="32"/>
        </w:rPr>
      </w:pPr>
    </w:p>
    <w:p w:rsidR="00AD3B72" w:rsidRPr="00F13CB0" w:rsidRDefault="00AD3B72" w:rsidP="003C680A">
      <w:pPr>
        <w:jc w:val="center"/>
        <w:rPr>
          <w:rFonts w:asciiTheme="majorBidi" w:hAnsiTheme="majorBidi" w:cstheme="majorBidi"/>
          <w:b/>
          <w:bCs/>
          <w:i/>
          <w:iCs/>
          <w:color w:val="7030A0"/>
          <w:sz w:val="32"/>
          <w:szCs w:val="32"/>
        </w:rPr>
        <w:sectPr w:rsidR="00AD3B72" w:rsidRPr="00F13CB0" w:rsidSect="00B46A2F">
          <w:headerReference w:type="default" r:id="rId14"/>
          <w:pgSz w:w="11906" w:h="16838"/>
          <w:pgMar w:top="1134" w:right="1134" w:bottom="1134" w:left="1418" w:header="397" w:footer="680" w:gutter="0"/>
          <w:pgNumType w:start="3"/>
          <w:cols w:space="708"/>
          <w:docGrid w:linePitch="360"/>
        </w:sectPr>
      </w:pPr>
    </w:p>
    <w:p w:rsidR="001D4718" w:rsidRPr="00AD3B72" w:rsidRDefault="001D4718" w:rsidP="001D4718">
      <w:pPr>
        <w:tabs>
          <w:tab w:val="left" w:pos="3735"/>
        </w:tabs>
        <w:jc w:val="both"/>
        <w:rPr>
          <w:sz w:val="20"/>
          <w:szCs w:val="20"/>
          <w:lang w:val="en-US"/>
        </w:rPr>
      </w:pPr>
      <w:r w:rsidRPr="00AD3B72">
        <w:rPr>
          <w:rFonts w:asciiTheme="majorBidi" w:eastAsiaTheme="minorEastAsia" w:hAnsiTheme="majorBidi" w:cstheme="majorBidi"/>
          <w:b/>
          <w:bCs/>
          <w:i/>
          <w:iCs/>
          <w:color w:val="7030A0"/>
          <w:sz w:val="44"/>
          <w:szCs w:val="44"/>
          <w:lang w:eastAsia="fr-FR"/>
        </w:rPr>
        <w:lastRenderedPageBreak/>
        <w:t xml:space="preserve">                  Liste des abréviations</w:t>
      </w:r>
    </w:p>
    <w:p w:rsidR="001D4718" w:rsidRDefault="001D4718" w:rsidP="001D4718">
      <w:pPr>
        <w:jc w:val="both"/>
      </w:pPr>
    </w:p>
    <w:tbl>
      <w:tblPr>
        <w:tblStyle w:val="Grilledutableau"/>
        <w:tblpPr w:leftFromText="141" w:rightFromText="141" w:vertAnchor="page" w:horzAnchor="margin" w:tblpY="2446"/>
        <w:tblW w:w="8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1D4718" w:rsidRPr="00B82892" w:rsidTr="00556101">
        <w:trPr>
          <w:trHeight w:val="299"/>
        </w:trPr>
        <w:tc>
          <w:tcPr>
            <w:tcW w:w="8110" w:type="dxa"/>
            <w:noWrap/>
            <w:hideMark/>
          </w:tcPr>
          <w:p w:rsidR="001D4718" w:rsidRDefault="001D4718" w:rsidP="00556101">
            <w:pPr>
              <w:spacing w:line="240" w:lineRule="auto"/>
              <w:jc w:val="both"/>
              <w:rPr>
                <w:rFonts w:asciiTheme="majorBidi" w:eastAsia="Times New Roman" w:hAnsiTheme="majorBidi" w:cstheme="majorBidi"/>
                <w:color w:val="000000"/>
                <w:sz w:val="24"/>
                <w:szCs w:val="24"/>
                <w:lang w:eastAsia="fr-FR"/>
              </w:rPr>
            </w:pPr>
            <w:r w:rsidRPr="0059037C">
              <w:rPr>
                <w:rFonts w:ascii="Times New Roman" w:hAnsi="Times New Roman" w:cs="Times New Roman"/>
                <w:sz w:val="24"/>
                <w:szCs w:val="24"/>
              </w:rPr>
              <w:t>ABCA1 :</w:t>
            </w:r>
            <w:r>
              <w:rPr>
                <w:rFonts w:ascii="Times New Roman" w:hAnsi="Times New Roman" w:cs="Times New Roman"/>
                <w:sz w:val="24"/>
                <w:szCs w:val="24"/>
              </w:rPr>
              <w:t xml:space="preserve"> ATP Binding Cassette A1</w:t>
            </w:r>
          </w:p>
          <w:p w:rsidR="001D4718" w:rsidRPr="00B82892" w:rsidRDefault="001D4718" w:rsidP="00556101">
            <w:pPr>
              <w:spacing w:line="240" w:lineRule="auto"/>
              <w:jc w:val="both"/>
              <w:rPr>
                <w:rFonts w:asciiTheme="majorBidi" w:eastAsiaTheme="minorEastAsia" w:hAnsiTheme="majorBidi" w:cstheme="majorBidi"/>
                <w:b/>
                <w:bCs/>
                <w:i/>
                <w:iCs/>
                <w:color w:val="7030A0"/>
                <w:sz w:val="48"/>
                <w:szCs w:val="48"/>
                <w:lang w:eastAsia="fr-FR"/>
              </w:rPr>
            </w:pPr>
            <w:r w:rsidRPr="003323F1">
              <w:rPr>
                <w:rFonts w:asciiTheme="majorBidi" w:eastAsia="Times New Roman" w:hAnsiTheme="majorBidi" w:cstheme="majorBidi"/>
                <w:color w:val="000000"/>
                <w:sz w:val="24"/>
                <w:szCs w:val="24"/>
                <w:lang w:eastAsia="fr-FR"/>
              </w:rPr>
              <w:t>ALAT: Alanine Amino Transférase</w:t>
            </w:r>
            <w:r>
              <w:rPr>
                <w:rFonts w:asciiTheme="majorBidi" w:eastAsia="Times New Roman" w:hAnsiTheme="majorBidi" w:cstheme="majorBidi"/>
                <w:color w:val="000000"/>
                <w:sz w:val="24"/>
                <w:szCs w:val="24"/>
                <w:lang w:eastAsia="fr-FR"/>
              </w:rPr>
              <w:t xml:space="preserve"> </w:t>
            </w:r>
          </w:p>
        </w:tc>
      </w:tr>
      <w:tr w:rsidR="001D4718" w:rsidRPr="003323F1" w:rsidTr="00556101">
        <w:trPr>
          <w:trHeight w:val="299"/>
        </w:trPr>
        <w:tc>
          <w:tcPr>
            <w:tcW w:w="8110" w:type="dxa"/>
            <w:noWrap/>
            <w:hideMark/>
          </w:tcPr>
          <w:p w:rsidR="001D4718" w:rsidRPr="003323F1" w:rsidRDefault="001D4718" w:rsidP="00556101">
            <w:pPr>
              <w:spacing w:line="360" w:lineRule="auto"/>
              <w:jc w:val="both"/>
              <w:rPr>
                <w:rFonts w:asciiTheme="majorBidi" w:eastAsia="Times New Roman" w:hAnsiTheme="majorBidi" w:cstheme="majorBidi"/>
                <w:color w:val="000000"/>
                <w:sz w:val="24"/>
                <w:szCs w:val="24"/>
                <w:lang w:eastAsia="fr-FR"/>
              </w:rPr>
            </w:pPr>
            <w:r w:rsidRPr="003323F1">
              <w:rPr>
                <w:rFonts w:asciiTheme="majorBidi" w:eastAsia="Times New Roman" w:hAnsiTheme="majorBidi" w:cstheme="majorBidi"/>
                <w:color w:val="000000"/>
                <w:sz w:val="24"/>
                <w:szCs w:val="24"/>
                <w:lang w:eastAsia="fr-FR"/>
              </w:rPr>
              <w:t xml:space="preserve">AMG : </w:t>
            </w:r>
            <w:r>
              <w:rPr>
                <w:rFonts w:asciiTheme="majorBidi" w:eastAsia="Times New Roman" w:hAnsiTheme="majorBidi" w:cstheme="majorBidi"/>
                <w:color w:val="000000"/>
                <w:sz w:val="24"/>
                <w:szCs w:val="24"/>
                <w:lang w:eastAsia="fr-FR"/>
              </w:rPr>
              <w:t>Assistance</w:t>
            </w:r>
            <w:r w:rsidRPr="003323F1">
              <w:rPr>
                <w:rFonts w:asciiTheme="majorBidi" w:eastAsia="Times New Roman" w:hAnsiTheme="majorBidi" w:cstheme="majorBidi"/>
                <w:color w:val="000000"/>
                <w:sz w:val="24"/>
                <w:szCs w:val="24"/>
                <w:lang w:eastAsia="fr-FR"/>
              </w:rPr>
              <w:t xml:space="preserve"> Médicale Gratuite </w:t>
            </w:r>
          </w:p>
        </w:tc>
      </w:tr>
      <w:tr w:rsidR="001D4718" w:rsidRPr="003323F1" w:rsidTr="00556101">
        <w:trPr>
          <w:trHeight w:val="299"/>
        </w:trPr>
        <w:tc>
          <w:tcPr>
            <w:tcW w:w="8110" w:type="dxa"/>
            <w:noWrap/>
            <w:hideMark/>
          </w:tcPr>
          <w:p w:rsidR="001D4718" w:rsidRPr="003323F1" w:rsidRDefault="001D4718" w:rsidP="00556101">
            <w:pPr>
              <w:spacing w:line="360" w:lineRule="auto"/>
              <w:jc w:val="both"/>
              <w:rPr>
                <w:rFonts w:asciiTheme="majorBidi" w:eastAsia="Times New Roman" w:hAnsiTheme="majorBidi" w:cstheme="majorBidi"/>
                <w:color w:val="000000"/>
                <w:sz w:val="24"/>
                <w:szCs w:val="24"/>
                <w:lang w:eastAsia="fr-FR"/>
              </w:rPr>
            </w:pPr>
            <w:r w:rsidRPr="003323F1">
              <w:rPr>
                <w:rFonts w:asciiTheme="majorBidi" w:eastAsia="Times New Roman" w:hAnsiTheme="majorBidi" w:cstheme="majorBidi"/>
                <w:color w:val="000000"/>
                <w:sz w:val="24"/>
                <w:szCs w:val="24"/>
                <w:lang w:eastAsia="fr-FR"/>
              </w:rPr>
              <w:t xml:space="preserve">ARN : </w:t>
            </w:r>
            <w:r>
              <w:rPr>
                <w:rFonts w:asciiTheme="majorBidi" w:eastAsia="Times New Roman" w:hAnsiTheme="majorBidi" w:cstheme="majorBidi"/>
                <w:color w:val="000000"/>
                <w:sz w:val="24"/>
                <w:szCs w:val="24"/>
                <w:lang w:eastAsia="fr-FR"/>
              </w:rPr>
              <w:t>Acide</w:t>
            </w:r>
            <w:r w:rsidRPr="003323F1">
              <w:rPr>
                <w:rFonts w:asciiTheme="majorBidi" w:eastAsia="Times New Roman" w:hAnsiTheme="majorBidi" w:cstheme="majorBidi"/>
                <w:color w:val="000000"/>
                <w:sz w:val="24"/>
                <w:szCs w:val="24"/>
                <w:lang w:eastAsia="fr-FR"/>
              </w:rPr>
              <w:t xml:space="preserve"> RiboNucléique</w:t>
            </w:r>
          </w:p>
        </w:tc>
      </w:tr>
      <w:tr w:rsidR="001D4718" w:rsidRPr="00B82892" w:rsidTr="00556101">
        <w:trPr>
          <w:trHeight w:val="299"/>
        </w:trPr>
        <w:tc>
          <w:tcPr>
            <w:tcW w:w="8110" w:type="dxa"/>
            <w:noWrap/>
            <w:hideMark/>
          </w:tcPr>
          <w:p w:rsidR="001D4718" w:rsidRPr="00B82892" w:rsidRDefault="001D4718" w:rsidP="00556101">
            <w:pPr>
              <w:spacing w:line="360" w:lineRule="auto"/>
              <w:jc w:val="both"/>
              <w:rPr>
                <w:rFonts w:asciiTheme="majorBidi" w:eastAsia="Times New Roman" w:hAnsiTheme="majorBidi" w:cstheme="majorBidi"/>
                <w:color w:val="000000"/>
                <w:sz w:val="24"/>
                <w:szCs w:val="24"/>
                <w:lang w:eastAsia="fr-FR"/>
              </w:rPr>
            </w:pPr>
            <w:r w:rsidRPr="00B82892">
              <w:rPr>
                <w:rFonts w:asciiTheme="majorBidi" w:hAnsiTheme="majorBidi" w:cstheme="majorBidi"/>
                <w:sz w:val="24"/>
                <w:szCs w:val="24"/>
              </w:rPr>
              <w:t xml:space="preserve">Apo : </w:t>
            </w:r>
            <w:r>
              <w:rPr>
                <w:rFonts w:asciiTheme="majorBidi" w:hAnsiTheme="majorBidi" w:cstheme="majorBidi"/>
                <w:sz w:val="24"/>
                <w:szCs w:val="24"/>
              </w:rPr>
              <w:t xml:space="preserve">  </w:t>
            </w:r>
            <w:r w:rsidRPr="00B82892">
              <w:rPr>
                <w:rFonts w:asciiTheme="majorBidi" w:hAnsiTheme="majorBidi" w:cstheme="majorBidi"/>
                <w:sz w:val="24"/>
                <w:szCs w:val="24"/>
              </w:rPr>
              <w:t>Apolipoprotéine</w:t>
            </w:r>
          </w:p>
          <w:p w:rsidR="001D4718" w:rsidRPr="00B82892" w:rsidRDefault="001D4718" w:rsidP="00556101">
            <w:pPr>
              <w:spacing w:line="360" w:lineRule="auto"/>
              <w:jc w:val="both"/>
              <w:rPr>
                <w:rFonts w:asciiTheme="majorBidi" w:eastAsia="Times New Roman" w:hAnsiTheme="majorBidi" w:cstheme="majorBidi"/>
                <w:color w:val="000000"/>
                <w:sz w:val="24"/>
                <w:szCs w:val="24"/>
                <w:lang w:eastAsia="fr-FR"/>
              </w:rPr>
            </w:pPr>
            <w:r w:rsidRPr="00B82892">
              <w:rPr>
                <w:rFonts w:asciiTheme="majorBidi" w:eastAsia="Times New Roman" w:hAnsiTheme="majorBidi" w:cstheme="majorBidi"/>
                <w:color w:val="000000"/>
                <w:sz w:val="24"/>
                <w:szCs w:val="24"/>
                <w:lang w:eastAsia="fr-FR"/>
              </w:rPr>
              <w:t>ASAT: AspartateAmino Transférase</w:t>
            </w:r>
            <w:r>
              <w:rPr>
                <w:rFonts w:asciiTheme="majorBidi" w:eastAsia="Times New Roman" w:hAnsiTheme="majorBidi" w:cstheme="majorBidi"/>
                <w:color w:val="000000"/>
                <w:sz w:val="24"/>
                <w:szCs w:val="24"/>
                <w:lang w:eastAsia="fr-FR"/>
              </w:rPr>
              <w:t xml:space="preserve"> </w:t>
            </w:r>
          </w:p>
        </w:tc>
      </w:tr>
      <w:tr w:rsidR="001D4718" w:rsidRPr="00B82892" w:rsidTr="00556101">
        <w:trPr>
          <w:trHeight w:val="2073"/>
        </w:trPr>
        <w:tc>
          <w:tcPr>
            <w:tcW w:w="8110" w:type="dxa"/>
            <w:noWrap/>
            <w:hideMark/>
          </w:tcPr>
          <w:p w:rsidR="001D4718" w:rsidRPr="00B82892" w:rsidRDefault="001D4718" w:rsidP="00556101">
            <w:pPr>
              <w:spacing w:line="360" w:lineRule="auto"/>
              <w:jc w:val="both"/>
              <w:rPr>
                <w:rFonts w:asciiTheme="majorBidi" w:eastAsia="Times New Roman" w:hAnsiTheme="majorBidi" w:cstheme="majorBidi"/>
                <w:color w:val="000000"/>
                <w:sz w:val="24"/>
                <w:szCs w:val="24"/>
                <w:lang w:eastAsia="fr-FR"/>
              </w:rPr>
            </w:pPr>
            <w:r w:rsidRPr="00B82892">
              <w:rPr>
                <w:rFonts w:asciiTheme="majorBidi" w:hAnsiTheme="majorBidi" w:cstheme="majorBidi"/>
                <w:sz w:val="24"/>
                <w:szCs w:val="24"/>
              </w:rPr>
              <w:t>BILT : Bilirubine Totale</w:t>
            </w:r>
          </w:p>
          <w:p w:rsidR="001D4718" w:rsidRPr="00B82892" w:rsidRDefault="001D4718" w:rsidP="00556101">
            <w:pPr>
              <w:spacing w:line="360" w:lineRule="auto"/>
              <w:jc w:val="both"/>
              <w:rPr>
                <w:rFonts w:asciiTheme="majorBidi" w:eastAsia="Times New Roman" w:hAnsiTheme="majorBidi" w:cstheme="majorBidi"/>
                <w:color w:val="000000"/>
                <w:sz w:val="24"/>
                <w:szCs w:val="24"/>
                <w:lang w:eastAsia="fr-FR"/>
              </w:rPr>
            </w:pPr>
            <w:r w:rsidRPr="00B82892">
              <w:rPr>
                <w:rFonts w:ascii="Times New Roman" w:hAnsi="Times New Roman" w:cs="Times New Roman"/>
                <w:sz w:val="24"/>
                <w:szCs w:val="24"/>
              </w:rPr>
              <w:t xml:space="preserve">BIL D : Bilirubine Direct </w:t>
            </w:r>
          </w:p>
          <w:p w:rsidR="001D4718" w:rsidRPr="00B82892" w:rsidRDefault="001D4718" w:rsidP="0044739A">
            <w:pPr>
              <w:spacing w:line="360" w:lineRule="auto"/>
              <w:jc w:val="both"/>
              <w:rPr>
                <w:rFonts w:asciiTheme="majorBidi" w:hAnsiTheme="majorBidi" w:cstheme="majorBidi"/>
                <w:sz w:val="24"/>
                <w:szCs w:val="24"/>
              </w:rPr>
            </w:pPr>
            <w:r w:rsidRPr="00B82892">
              <w:rPr>
                <w:rFonts w:asciiTheme="majorBidi" w:hAnsiTheme="majorBidi" w:cstheme="majorBidi"/>
                <w:sz w:val="24"/>
                <w:szCs w:val="24"/>
              </w:rPr>
              <w:t>CETP : Cholestérol Ester Transfer Protein</w:t>
            </w:r>
            <w:r>
              <w:rPr>
                <w:rFonts w:asciiTheme="majorBidi" w:hAnsiTheme="majorBidi" w:cstheme="majorBidi"/>
                <w:sz w:val="24"/>
                <w:szCs w:val="24"/>
              </w:rPr>
              <w:t xml:space="preserve"> </w:t>
            </w:r>
          </w:p>
          <w:p w:rsidR="001D4718" w:rsidRPr="00B82892" w:rsidRDefault="001D4718" w:rsidP="00556101">
            <w:pPr>
              <w:spacing w:line="360" w:lineRule="auto"/>
              <w:jc w:val="both"/>
              <w:rPr>
                <w:rFonts w:asciiTheme="majorBidi" w:eastAsia="Times New Roman" w:hAnsiTheme="majorBidi" w:cstheme="majorBidi"/>
                <w:color w:val="000000"/>
                <w:sz w:val="24"/>
                <w:szCs w:val="24"/>
                <w:lang w:eastAsia="fr-FR"/>
              </w:rPr>
            </w:pPr>
            <w:r w:rsidRPr="00B82892">
              <w:rPr>
                <w:rFonts w:asciiTheme="majorBidi" w:eastAsia="Times New Roman" w:hAnsiTheme="majorBidi" w:cstheme="majorBidi"/>
                <w:color w:val="000000"/>
                <w:sz w:val="24"/>
                <w:szCs w:val="24"/>
                <w:lang w:eastAsia="fr-FR"/>
              </w:rPr>
              <w:t xml:space="preserve">CHC : </w:t>
            </w:r>
            <w:r>
              <w:rPr>
                <w:rFonts w:asciiTheme="majorBidi" w:eastAsia="Times New Roman" w:hAnsiTheme="majorBidi" w:cstheme="majorBidi"/>
                <w:color w:val="000000"/>
                <w:sz w:val="24"/>
                <w:szCs w:val="24"/>
                <w:lang w:eastAsia="fr-FR"/>
              </w:rPr>
              <w:t>C</w:t>
            </w:r>
            <w:r w:rsidRPr="00B82892">
              <w:rPr>
                <w:rFonts w:asciiTheme="majorBidi" w:eastAsia="Times New Roman" w:hAnsiTheme="majorBidi" w:cstheme="majorBidi"/>
                <w:color w:val="000000"/>
                <w:sz w:val="24"/>
                <w:szCs w:val="24"/>
                <w:lang w:eastAsia="fr-FR"/>
              </w:rPr>
              <w:t xml:space="preserve">arcinome </w:t>
            </w:r>
            <w:r>
              <w:rPr>
                <w:rFonts w:asciiTheme="majorBidi" w:eastAsia="Times New Roman" w:hAnsiTheme="majorBidi" w:cstheme="majorBidi"/>
                <w:color w:val="000000"/>
                <w:sz w:val="24"/>
                <w:szCs w:val="24"/>
                <w:lang w:eastAsia="fr-FR"/>
              </w:rPr>
              <w:t>H</w:t>
            </w:r>
            <w:r w:rsidRPr="00B82892">
              <w:rPr>
                <w:rFonts w:asciiTheme="majorBidi" w:eastAsia="Times New Roman" w:hAnsiTheme="majorBidi" w:cstheme="majorBidi"/>
                <w:color w:val="000000"/>
                <w:sz w:val="24"/>
                <w:szCs w:val="24"/>
                <w:lang w:eastAsia="fr-FR"/>
              </w:rPr>
              <w:t>épatocellulaire</w:t>
            </w:r>
          </w:p>
        </w:tc>
      </w:tr>
      <w:tr w:rsidR="001D4718" w:rsidRPr="00B135CE" w:rsidTr="00556101">
        <w:trPr>
          <w:trHeight w:val="1482"/>
        </w:trPr>
        <w:tc>
          <w:tcPr>
            <w:tcW w:w="8110" w:type="dxa"/>
            <w:noWrap/>
            <w:hideMark/>
          </w:tcPr>
          <w:p w:rsidR="001D4718" w:rsidRPr="008F1D72" w:rsidRDefault="001D4718" w:rsidP="00556101">
            <w:pPr>
              <w:spacing w:line="240" w:lineRule="auto"/>
              <w:jc w:val="both"/>
              <w:rPr>
                <w:rFonts w:asciiTheme="majorBidi" w:hAnsiTheme="majorBidi" w:cstheme="majorBidi"/>
                <w:sz w:val="24"/>
                <w:szCs w:val="24"/>
              </w:rPr>
            </w:pPr>
            <w:r w:rsidRPr="008F1D72">
              <w:rPr>
                <w:rFonts w:asciiTheme="majorBidi" w:hAnsiTheme="majorBidi" w:cstheme="majorBidi"/>
                <w:sz w:val="24"/>
                <w:szCs w:val="24"/>
              </w:rPr>
              <w:t>GAG : GlycosAminoGlycanes</w:t>
            </w:r>
          </w:p>
          <w:p w:rsidR="001D4718" w:rsidRPr="008F1D72" w:rsidRDefault="001D4718" w:rsidP="00556101">
            <w:pPr>
              <w:spacing w:line="240" w:lineRule="auto"/>
              <w:jc w:val="both"/>
              <w:rPr>
                <w:rFonts w:asciiTheme="majorBidi" w:eastAsia="Times New Roman" w:hAnsiTheme="majorBidi" w:cstheme="majorBidi"/>
                <w:color w:val="000000"/>
                <w:sz w:val="24"/>
                <w:szCs w:val="24"/>
                <w:lang w:eastAsia="fr-FR"/>
              </w:rPr>
            </w:pPr>
            <w:r w:rsidRPr="008F1D72">
              <w:rPr>
                <w:rFonts w:asciiTheme="majorBidi" w:hAnsiTheme="majorBidi" w:cstheme="majorBidi"/>
                <w:sz w:val="24"/>
                <w:szCs w:val="24"/>
              </w:rPr>
              <w:t>GL : Gouttelettes Lipidiques</w:t>
            </w:r>
          </w:p>
          <w:p w:rsidR="001D4718" w:rsidRPr="00B135CE" w:rsidRDefault="001D4718" w:rsidP="0044739A">
            <w:pPr>
              <w:spacing w:line="240" w:lineRule="auto"/>
              <w:jc w:val="both"/>
              <w:rPr>
                <w:rFonts w:asciiTheme="majorBidi" w:eastAsia="Times New Roman" w:hAnsiTheme="majorBidi" w:cstheme="majorBidi"/>
                <w:color w:val="000000"/>
                <w:sz w:val="24"/>
                <w:szCs w:val="24"/>
                <w:lang w:eastAsia="fr-FR"/>
              </w:rPr>
            </w:pPr>
            <w:r w:rsidRPr="00B135CE">
              <w:rPr>
                <w:rFonts w:asciiTheme="majorBidi" w:eastAsia="Times New Roman" w:hAnsiTheme="majorBidi" w:cstheme="majorBidi"/>
                <w:color w:val="000000"/>
                <w:sz w:val="24"/>
                <w:szCs w:val="24"/>
                <w:lang w:eastAsia="fr-FR"/>
              </w:rPr>
              <w:t>HDL : High Density Lipoproteins</w:t>
            </w:r>
            <w:r>
              <w:rPr>
                <w:rFonts w:asciiTheme="majorBidi" w:eastAsia="Times New Roman" w:hAnsiTheme="majorBidi" w:cstheme="majorBidi"/>
                <w:color w:val="000000"/>
                <w:sz w:val="24"/>
                <w:szCs w:val="24"/>
                <w:lang w:eastAsia="fr-FR"/>
              </w:rPr>
              <w:t xml:space="preserve"> </w:t>
            </w:r>
          </w:p>
        </w:tc>
      </w:tr>
      <w:tr w:rsidR="001D4718" w:rsidRPr="00B82892" w:rsidTr="00556101">
        <w:trPr>
          <w:trHeight w:val="532"/>
        </w:trPr>
        <w:tc>
          <w:tcPr>
            <w:tcW w:w="8110" w:type="dxa"/>
            <w:noWrap/>
            <w:hideMark/>
          </w:tcPr>
          <w:p w:rsidR="001D4718" w:rsidRPr="00B82892" w:rsidRDefault="001D4718" w:rsidP="00556101">
            <w:pPr>
              <w:spacing w:line="360" w:lineRule="auto"/>
              <w:jc w:val="both"/>
              <w:rPr>
                <w:rFonts w:asciiTheme="majorBidi" w:eastAsia="Times New Roman" w:hAnsiTheme="majorBidi" w:cstheme="majorBidi"/>
                <w:color w:val="000000"/>
                <w:sz w:val="24"/>
                <w:szCs w:val="24"/>
                <w:lang w:eastAsia="fr-FR"/>
              </w:rPr>
            </w:pPr>
            <w:r w:rsidRPr="00B82892">
              <w:rPr>
                <w:rFonts w:asciiTheme="majorBidi" w:eastAsia="Times New Roman" w:hAnsiTheme="majorBidi" w:cstheme="majorBidi"/>
                <w:color w:val="000000"/>
                <w:sz w:val="24"/>
                <w:szCs w:val="24"/>
                <w:lang w:eastAsia="fr-FR"/>
              </w:rPr>
              <w:t>IMC :</w:t>
            </w:r>
            <w:r>
              <w:rPr>
                <w:rFonts w:asciiTheme="majorBidi" w:eastAsia="Times New Roman" w:hAnsiTheme="majorBidi" w:cstheme="majorBidi"/>
                <w:color w:val="000000"/>
                <w:sz w:val="24"/>
                <w:szCs w:val="24"/>
                <w:lang w:eastAsia="fr-FR"/>
              </w:rPr>
              <w:t xml:space="preserve"> I</w:t>
            </w:r>
            <w:r w:rsidRPr="00B82892">
              <w:rPr>
                <w:rFonts w:asciiTheme="majorBidi" w:eastAsia="Times New Roman" w:hAnsiTheme="majorBidi" w:cstheme="majorBidi"/>
                <w:color w:val="000000"/>
                <w:sz w:val="24"/>
                <w:szCs w:val="24"/>
                <w:lang w:eastAsia="fr-FR"/>
              </w:rPr>
              <w:t xml:space="preserve">ndex de </w:t>
            </w:r>
            <w:r>
              <w:rPr>
                <w:rFonts w:asciiTheme="majorBidi" w:eastAsia="Times New Roman" w:hAnsiTheme="majorBidi" w:cstheme="majorBidi"/>
                <w:color w:val="000000"/>
                <w:sz w:val="24"/>
                <w:szCs w:val="24"/>
                <w:lang w:eastAsia="fr-FR"/>
              </w:rPr>
              <w:t>M</w:t>
            </w:r>
            <w:r w:rsidRPr="00B82892">
              <w:rPr>
                <w:rFonts w:asciiTheme="majorBidi" w:eastAsia="Times New Roman" w:hAnsiTheme="majorBidi" w:cstheme="majorBidi"/>
                <w:color w:val="000000"/>
                <w:sz w:val="24"/>
                <w:szCs w:val="24"/>
                <w:lang w:eastAsia="fr-FR"/>
              </w:rPr>
              <w:t xml:space="preserve">asse </w:t>
            </w:r>
            <w:r>
              <w:rPr>
                <w:rFonts w:asciiTheme="majorBidi" w:eastAsia="Times New Roman" w:hAnsiTheme="majorBidi" w:cstheme="majorBidi"/>
                <w:color w:val="000000"/>
                <w:sz w:val="24"/>
                <w:szCs w:val="24"/>
                <w:lang w:eastAsia="fr-FR"/>
              </w:rPr>
              <w:t>C</w:t>
            </w:r>
            <w:r w:rsidRPr="00B82892">
              <w:rPr>
                <w:rFonts w:asciiTheme="majorBidi" w:eastAsia="Times New Roman" w:hAnsiTheme="majorBidi" w:cstheme="majorBidi"/>
                <w:color w:val="000000"/>
                <w:sz w:val="24"/>
                <w:szCs w:val="24"/>
                <w:lang w:eastAsia="fr-FR"/>
              </w:rPr>
              <w:t>orporelle</w:t>
            </w:r>
          </w:p>
        </w:tc>
      </w:tr>
      <w:tr w:rsidR="001D4718" w:rsidRPr="00B82892" w:rsidTr="00556101">
        <w:trPr>
          <w:trHeight w:val="588"/>
        </w:trPr>
        <w:tc>
          <w:tcPr>
            <w:tcW w:w="8110" w:type="dxa"/>
            <w:noWrap/>
            <w:hideMark/>
          </w:tcPr>
          <w:p w:rsidR="001D4718" w:rsidRPr="00B82892" w:rsidRDefault="001D4718" w:rsidP="00556101">
            <w:pPr>
              <w:spacing w:line="240" w:lineRule="auto"/>
              <w:jc w:val="both"/>
              <w:rPr>
                <w:rFonts w:asciiTheme="majorBidi" w:eastAsia="Times New Roman" w:hAnsiTheme="majorBidi" w:cstheme="majorBidi"/>
                <w:color w:val="000000"/>
                <w:sz w:val="24"/>
                <w:szCs w:val="24"/>
                <w:lang w:eastAsia="fr-FR"/>
              </w:rPr>
            </w:pPr>
            <w:r w:rsidRPr="00B82892">
              <w:rPr>
                <w:rFonts w:asciiTheme="majorBidi" w:eastAsia="Times New Roman" w:hAnsiTheme="majorBidi" w:cstheme="majorBidi"/>
                <w:color w:val="000000"/>
                <w:sz w:val="24"/>
                <w:szCs w:val="24"/>
                <w:lang w:eastAsia="fr-FR"/>
              </w:rPr>
              <w:t>IRES : Séquence Interne d’Insertion des Ribosomes</w:t>
            </w:r>
          </w:p>
        </w:tc>
      </w:tr>
      <w:tr w:rsidR="001D4718" w:rsidRPr="00B135CE" w:rsidTr="00556101">
        <w:trPr>
          <w:trHeight w:val="299"/>
        </w:trPr>
        <w:tc>
          <w:tcPr>
            <w:tcW w:w="8110" w:type="dxa"/>
            <w:noWrap/>
            <w:hideMark/>
          </w:tcPr>
          <w:p w:rsidR="001D4718" w:rsidRPr="0059037C" w:rsidRDefault="001D4718" w:rsidP="00556101">
            <w:pPr>
              <w:spacing w:line="360" w:lineRule="auto"/>
              <w:jc w:val="both"/>
              <w:rPr>
                <w:rFonts w:asciiTheme="majorBidi" w:eastAsia="Times New Roman" w:hAnsiTheme="majorBidi" w:cstheme="majorBidi"/>
                <w:color w:val="000000"/>
                <w:sz w:val="24"/>
                <w:szCs w:val="24"/>
                <w:lang w:val="en-US" w:eastAsia="fr-FR"/>
              </w:rPr>
            </w:pPr>
            <w:r w:rsidRPr="0059037C">
              <w:rPr>
                <w:rFonts w:asciiTheme="majorBidi" w:hAnsiTheme="majorBidi" w:cstheme="majorBidi"/>
                <w:sz w:val="24"/>
                <w:szCs w:val="24"/>
                <w:lang w:val="en-US"/>
              </w:rPr>
              <w:t>LCAT :  Lecithin-Cholesterol Acyltransferase</w:t>
            </w:r>
          </w:p>
          <w:p w:rsidR="001D4718" w:rsidRPr="0059037C" w:rsidRDefault="001D4718" w:rsidP="0044739A">
            <w:pPr>
              <w:spacing w:line="360" w:lineRule="auto"/>
              <w:jc w:val="both"/>
              <w:rPr>
                <w:rFonts w:asciiTheme="majorBidi" w:eastAsia="Times New Roman" w:hAnsiTheme="majorBidi" w:cstheme="majorBidi"/>
                <w:color w:val="000000"/>
                <w:sz w:val="24"/>
                <w:szCs w:val="24"/>
                <w:lang w:val="en-US" w:eastAsia="fr-FR"/>
              </w:rPr>
            </w:pPr>
            <w:r w:rsidRPr="0059037C">
              <w:rPr>
                <w:rFonts w:asciiTheme="majorBidi" w:eastAsia="Times New Roman" w:hAnsiTheme="majorBidi" w:cstheme="majorBidi"/>
                <w:color w:val="000000"/>
                <w:sz w:val="24"/>
                <w:szCs w:val="24"/>
                <w:lang w:val="en-US" w:eastAsia="fr-FR"/>
              </w:rPr>
              <w:t>LDL : Low Density Lipoproteins</w:t>
            </w:r>
            <w:r>
              <w:rPr>
                <w:rFonts w:asciiTheme="majorBidi" w:eastAsia="Times New Roman" w:hAnsiTheme="majorBidi" w:cstheme="majorBidi"/>
                <w:color w:val="000000"/>
                <w:sz w:val="24"/>
                <w:szCs w:val="24"/>
                <w:lang w:val="en-US" w:eastAsia="fr-FR"/>
              </w:rPr>
              <w:t xml:space="preserve"> </w:t>
            </w:r>
          </w:p>
        </w:tc>
      </w:tr>
      <w:tr w:rsidR="001D4718" w:rsidRPr="0059037C" w:rsidTr="00556101">
        <w:trPr>
          <w:trHeight w:val="299"/>
        </w:trPr>
        <w:tc>
          <w:tcPr>
            <w:tcW w:w="8110" w:type="dxa"/>
            <w:noWrap/>
            <w:hideMark/>
          </w:tcPr>
          <w:p w:rsidR="001D4718" w:rsidRPr="00DF5780" w:rsidRDefault="001D4718" w:rsidP="0044739A">
            <w:pPr>
              <w:autoSpaceDE w:val="0"/>
              <w:autoSpaceDN w:val="0"/>
              <w:adjustRightInd w:val="0"/>
              <w:spacing w:after="0" w:line="480" w:lineRule="auto"/>
              <w:jc w:val="both"/>
              <w:rPr>
                <w:rFonts w:asciiTheme="majorBidi" w:hAnsiTheme="majorBidi" w:cstheme="majorBidi"/>
                <w:sz w:val="24"/>
                <w:szCs w:val="24"/>
              </w:rPr>
            </w:pPr>
            <w:r w:rsidRPr="00DF5780">
              <w:rPr>
                <w:rFonts w:asciiTheme="majorBidi" w:hAnsiTheme="majorBidi" w:cstheme="majorBidi"/>
                <w:sz w:val="24"/>
                <w:szCs w:val="24"/>
              </w:rPr>
              <w:t>LDLR: Low</w:t>
            </w:r>
            <w:r>
              <w:rPr>
                <w:rFonts w:asciiTheme="majorBidi" w:hAnsiTheme="majorBidi" w:cstheme="majorBidi"/>
                <w:sz w:val="24"/>
                <w:szCs w:val="24"/>
              </w:rPr>
              <w:t xml:space="preserve"> Density Lipoprotein Receptor </w:t>
            </w:r>
          </w:p>
          <w:p w:rsidR="001D4718" w:rsidRPr="00AD7130" w:rsidRDefault="001D4718" w:rsidP="00556101">
            <w:pPr>
              <w:autoSpaceDE w:val="0"/>
              <w:autoSpaceDN w:val="0"/>
              <w:adjustRightInd w:val="0"/>
              <w:spacing w:after="0" w:line="480" w:lineRule="auto"/>
              <w:jc w:val="both"/>
              <w:rPr>
                <w:rFonts w:asciiTheme="majorBidi" w:hAnsiTheme="majorBidi" w:cstheme="majorBidi"/>
                <w:sz w:val="24"/>
                <w:szCs w:val="24"/>
              </w:rPr>
            </w:pPr>
            <w:r w:rsidRPr="00AD7130">
              <w:rPr>
                <w:rFonts w:asciiTheme="majorBidi" w:hAnsiTheme="majorBidi" w:cstheme="majorBidi"/>
                <w:sz w:val="24"/>
                <w:szCs w:val="24"/>
              </w:rPr>
              <w:t>LH : Lipase Hépatique</w:t>
            </w:r>
          </w:p>
          <w:p w:rsidR="001D4718" w:rsidRPr="00B82892" w:rsidRDefault="001D4718" w:rsidP="00556101">
            <w:pPr>
              <w:autoSpaceDE w:val="0"/>
              <w:autoSpaceDN w:val="0"/>
              <w:adjustRightInd w:val="0"/>
              <w:spacing w:after="0" w:line="480" w:lineRule="auto"/>
              <w:jc w:val="both"/>
              <w:rPr>
                <w:rFonts w:asciiTheme="majorBidi" w:hAnsiTheme="majorBidi" w:cstheme="majorBidi"/>
                <w:sz w:val="24"/>
                <w:szCs w:val="24"/>
              </w:rPr>
            </w:pPr>
            <w:r w:rsidRPr="00B82892">
              <w:rPr>
                <w:rFonts w:asciiTheme="majorBidi" w:hAnsiTheme="majorBidi" w:cstheme="majorBidi"/>
                <w:sz w:val="24"/>
                <w:szCs w:val="24"/>
              </w:rPr>
              <w:t>LPL : Lipoprotéine Lipase</w:t>
            </w:r>
          </w:p>
          <w:p w:rsidR="001D4718" w:rsidRDefault="001D4718" w:rsidP="00556101">
            <w:pPr>
              <w:spacing w:line="360" w:lineRule="auto"/>
              <w:jc w:val="both"/>
              <w:rPr>
                <w:rFonts w:asciiTheme="majorBidi" w:hAnsiTheme="majorBidi" w:cstheme="majorBidi"/>
                <w:sz w:val="24"/>
                <w:szCs w:val="24"/>
              </w:rPr>
            </w:pPr>
            <w:r w:rsidRPr="00264274">
              <w:rPr>
                <w:rFonts w:asciiTheme="majorBidi" w:hAnsiTheme="majorBidi" w:cstheme="majorBidi"/>
                <w:sz w:val="24"/>
                <w:szCs w:val="24"/>
              </w:rPr>
              <w:t>LVP</w:t>
            </w:r>
            <w:r>
              <w:rPr>
                <w:rFonts w:asciiTheme="majorBidi" w:hAnsiTheme="majorBidi" w:cstheme="majorBidi"/>
                <w:sz w:val="24"/>
                <w:szCs w:val="24"/>
              </w:rPr>
              <w:t xml:space="preserve"> : Llipo-Viro-Particules </w:t>
            </w:r>
          </w:p>
          <w:p w:rsidR="001D4718" w:rsidRPr="00695F6A" w:rsidRDefault="001D4718" w:rsidP="00556101">
            <w:pPr>
              <w:spacing w:line="360" w:lineRule="auto"/>
              <w:jc w:val="both"/>
              <w:rPr>
                <w:rFonts w:asciiTheme="majorBidi" w:hAnsiTheme="majorBidi" w:cstheme="majorBidi"/>
                <w:sz w:val="24"/>
                <w:szCs w:val="24"/>
              </w:rPr>
            </w:pPr>
            <w:r w:rsidRPr="00695F6A">
              <w:rPr>
                <w:rFonts w:asciiTheme="majorBidi" w:hAnsiTheme="majorBidi" w:cstheme="majorBidi"/>
                <w:sz w:val="24"/>
                <w:szCs w:val="24"/>
              </w:rPr>
              <w:t>LRP : LDL-receptorRelatedProtein</w:t>
            </w:r>
          </w:p>
          <w:p w:rsidR="001D4718" w:rsidRPr="00B82892" w:rsidRDefault="001D4718" w:rsidP="0044739A">
            <w:pPr>
              <w:spacing w:line="360" w:lineRule="auto"/>
              <w:jc w:val="both"/>
              <w:rPr>
                <w:rFonts w:asciiTheme="majorBidi" w:hAnsiTheme="majorBidi" w:cstheme="majorBidi"/>
                <w:sz w:val="24"/>
                <w:szCs w:val="24"/>
              </w:rPr>
            </w:pPr>
            <w:r w:rsidRPr="00B82892">
              <w:rPr>
                <w:rFonts w:asciiTheme="majorBidi" w:hAnsiTheme="majorBidi" w:cstheme="majorBidi"/>
                <w:sz w:val="24"/>
                <w:szCs w:val="24"/>
              </w:rPr>
              <w:t>MTP : Microsomal Transfer Protein</w:t>
            </w:r>
            <w:r>
              <w:rPr>
                <w:rFonts w:asciiTheme="majorBidi" w:hAnsiTheme="majorBidi" w:cstheme="majorBidi"/>
                <w:sz w:val="24"/>
                <w:szCs w:val="24"/>
              </w:rPr>
              <w:t xml:space="preserve"> </w:t>
            </w:r>
          </w:p>
          <w:p w:rsidR="001D4718" w:rsidRPr="0059037C" w:rsidRDefault="001D4718" w:rsidP="00556101">
            <w:pPr>
              <w:spacing w:line="360" w:lineRule="auto"/>
              <w:jc w:val="both"/>
              <w:rPr>
                <w:rFonts w:asciiTheme="majorBidi" w:hAnsiTheme="majorBidi" w:cstheme="majorBidi"/>
                <w:sz w:val="24"/>
                <w:szCs w:val="24"/>
              </w:rPr>
            </w:pPr>
            <w:r w:rsidRPr="0059037C">
              <w:rPr>
                <w:rFonts w:ascii="Times New Roman" w:hAnsi="Times New Roman" w:cs="Times New Roman"/>
                <w:sz w:val="24"/>
                <w:szCs w:val="24"/>
              </w:rPr>
              <w:t>PLTP : Phospholipid Transfer Protein</w:t>
            </w:r>
          </w:p>
          <w:p w:rsidR="001D4718" w:rsidRPr="0059037C" w:rsidRDefault="001D4718" w:rsidP="00556101">
            <w:pPr>
              <w:spacing w:line="360" w:lineRule="auto"/>
              <w:jc w:val="both"/>
              <w:rPr>
                <w:rFonts w:asciiTheme="majorBidi" w:eastAsia="TTE27BB9A8t00" w:hAnsiTheme="majorBidi" w:cstheme="majorBidi"/>
                <w:sz w:val="28"/>
                <w:szCs w:val="28"/>
              </w:rPr>
            </w:pPr>
            <w:r w:rsidRPr="0059037C">
              <w:rPr>
                <w:rFonts w:asciiTheme="majorBidi" w:hAnsiTheme="majorBidi" w:cstheme="majorBidi"/>
                <w:sz w:val="24"/>
                <w:szCs w:val="24"/>
              </w:rPr>
              <w:lastRenderedPageBreak/>
              <w:t xml:space="preserve">RE : </w:t>
            </w:r>
            <w:r>
              <w:rPr>
                <w:rFonts w:asciiTheme="majorBidi" w:hAnsiTheme="majorBidi" w:cstheme="majorBidi"/>
                <w:sz w:val="24"/>
                <w:szCs w:val="24"/>
              </w:rPr>
              <w:t>R</w:t>
            </w:r>
            <w:r w:rsidRPr="0059037C">
              <w:rPr>
                <w:rFonts w:asciiTheme="majorBidi" w:hAnsiTheme="majorBidi" w:cstheme="majorBidi"/>
                <w:sz w:val="24"/>
                <w:szCs w:val="24"/>
              </w:rPr>
              <w:t xml:space="preserve">éticulum </w:t>
            </w:r>
            <w:r>
              <w:rPr>
                <w:rFonts w:asciiTheme="majorBidi" w:hAnsiTheme="majorBidi" w:cstheme="majorBidi"/>
                <w:sz w:val="24"/>
                <w:szCs w:val="24"/>
              </w:rPr>
              <w:t>E</w:t>
            </w:r>
            <w:r w:rsidRPr="0059037C">
              <w:rPr>
                <w:rFonts w:asciiTheme="majorBidi" w:hAnsiTheme="majorBidi" w:cstheme="majorBidi"/>
                <w:sz w:val="24"/>
                <w:szCs w:val="24"/>
              </w:rPr>
              <w:t xml:space="preserve">ndoplasmique </w:t>
            </w:r>
          </w:p>
          <w:p w:rsidR="001D4718" w:rsidRPr="00B82892" w:rsidRDefault="001D4718" w:rsidP="00556101">
            <w:pPr>
              <w:spacing w:line="360" w:lineRule="auto"/>
              <w:jc w:val="both"/>
              <w:rPr>
                <w:rFonts w:asciiTheme="majorBidi" w:hAnsiTheme="majorBidi" w:cstheme="majorBidi"/>
                <w:sz w:val="24"/>
                <w:szCs w:val="24"/>
              </w:rPr>
            </w:pPr>
            <w:r w:rsidRPr="00B82892">
              <w:rPr>
                <w:rFonts w:asciiTheme="majorBidi" w:eastAsia="TTE27BB9A8t00" w:hAnsiTheme="majorBidi" w:cstheme="majorBidi"/>
                <w:sz w:val="24"/>
                <w:szCs w:val="24"/>
              </w:rPr>
              <w:t>SRB1 : ScavengerReceptor class B1, Recepteur   d’Epuration de classe B1</w:t>
            </w:r>
          </w:p>
          <w:p w:rsidR="001D4718" w:rsidRDefault="001D4718" w:rsidP="0055610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SPP : </w:t>
            </w:r>
            <w:r w:rsidRPr="001E3F2C">
              <w:rPr>
                <w:rFonts w:asciiTheme="majorBidi" w:hAnsiTheme="majorBidi" w:cstheme="majorBidi"/>
                <w:sz w:val="24"/>
                <w:szCs w:val="24"/>
              </w:rPr>
              <w:t>Signal Peptide Peptidase</w:t>
            </w:r>
          </w:p>
          <w:p w:rsidR="001D4718" w:rsidRPr="00B82892" w:rsidRDefault="001D4718" w:rsidP="00556101">
            <w:pPr>
              <w:spacing w:line="360" w:lineRule="auto"/>
              <w:jc w:val="both"/>
              <w:rPr>
                <w:rFonts w:asciiTheme="majorBidi" w:eastAsia="Times New Roman" w:hAnsiTheme="majorBidi" w:cstheme="majorBidi"/>
                <w:color w:val="000000"/>
                <w:sz w:val="24"/>
                <w:szCs w:val="24"/>
                <w:lang w:eastAsia="fr-FR"/>
              </w:rPr>
            </w:pPr>
            <w:r w:rsidRPr="00B82892">
              <w:rPr>
                <w:rFonts w:asciiTheme="majorBidi" w:hAnsiTheme="majorBidi" w:cstheme="majorBidi"/>
                <w:sz w:val="24"/>
                <w:szCs w:val="24"/>
              </w:rPr>
              <w:t>TG : Triglycéride</w:t>
            </w:r>
          </w:p>
          <w:p w:rsidR="001D4718" w:rsidRPr="0059037C" w:rsidRDefault="001D4718" w:rsidP="00556101">
            <w:pPr>
              <w:spacing w:line="360" w:lineRule="auto"/>
              <w:jc w:val="both"/>
              <w:rPr>
                <w:rFonts w:asciiTheme="majorBidi" w:eastAsia="Times New Roman" w:hAnsiTheme="majorBidi" w:cstheme="majorBidi"/>
                <w:color w:val="000000"/>
                <w:sz w:val="24"/>
                <w:szCs w:val="24"/>
                <w:lang w:eastAsia="fr-FR"/>
              </w:rPr>
            </w:pPr>
            <w:r w:rsidRPr="0059037C">
              <w:rPr>
                <w:rFonts w:asciiTheme="majorBidi" w:eastAsia="Times New Roman" w:hAnsiTheme="majorBidi" w:cstheme="majorBidi"/>
                <w:color w:val="000000"/>
                <w:sz w:val="24"/>
                <w:szCs w:val="24"/>
                <w:lang w:eastAsia="fr-FR"/>
              </w:rPr>
              <w:t>TGO : Glutamate Oxaloacétique Transaminase</w:t>
            </w:r>
          </w:p>
        </w:tc>
      </w:tr>
      <w:tr w:rsidR="001D4718" w:rsidRPr="003323F1" w:rsidTr="00556101">
        <w:trPr>
          <w:trHeight w:val="299"/>
        </w:trPr>
        <w:tc>
          <w:tcPr>
            <w:tcW w:w="8110" w:type="dxa"/>
            <w:noWrap/>
            <w:hideMark/>
          </w:tcPr>
          <w:p w:rsidR="001D4718" w:rsidRPr="003323F1" w:rsidRDefault="001D4718" w:rsidP="00556101">
            <w:pPr>
              <w:spacing w:line="360" w:lineRule="auto"/>
              <w:jc w:val="both"/>
              <w:rPr>
                <w:rFonts w:asciiTheme="majorBidi" w:eastAsia="Times New Roman" w:hAnsiTheme="majorBidi" w:cstheme="majorBidi"/>
                <w:color w:val="000000"/>
                <w:sz w:val="24"/>
                <w:szCs w:val="24"/>
                <w:lang w:eastAsia="fr-FR"/>
              </w:rPr>
            </w:pPr>
            <w:r w:rsidRPr="003323F1">
              <w:rPr>
                <w:rFonts w:asciiTheme="majorBidi" w:eastAsia="Times New Roman" w:hAnsiTheme="majorBidi" w:cstheme="majorBidi"/>
                <w:color w:val="000000"/>
                <w:sz w:val="24"/>
                <w:szCs w:val="24"/>
                <w:lang w:eastAsia="fr-FR"/>
              </w:rPr>
              <w:lastRenderedPageBreak/>
              <w:t>TGP : Glutamate Pyruvate transaminase</w:t>
            </w:r>
          </w:p>
        </w:tc>
      </w:tr>
      <w:tr w:rsidR="001D4718" w:rsidRPr="003323F1" w:rsidTr="00556101">
        <w:trPr>
          <w:trHeight w:val="299"/>
        </w:trPr>
        <w:tc>
          <w:tcPr>
            <w:tcW w:w="8110" w:type="dxa"/>
            <w:noWrap/>
            <w:hideMark/>
          </w:tcPr>
          <w:p w:rsidR="001D4718" w:rsidRPr="003323F1" w:rsidRDefault="001D4718" w:rsidP="00556101">
            <w:pPr>
              <w:spacing w:line="360" w:lineRule="auto"/>
              <w:jc w:val="both"/>
              <w:rPr>
                <w:rFonts w:asciiTheme="majorBidi" w:eastAsia="Times New Roman" w:hAnsiTheme="majorBidi" w:cstheme="majorBidi"/>
                <w:color w:val="000000"/>
                <w:sz w:val="24"/>
                <w:szCs w:val="24"/>
                <w:lang w:eastAsia="fr-FR"/>
              </w:rPr>
            </w:pPr>
            <w:r w:rsidRPr="003323F1">
              <w:rPr>
                <w:rFonts w:asciiTheme="majorBidi" w:eastAsia="Times New Roman" w:hAnsiTheme="majorBidi" w:cstheme="majorBidi"/>
                <w:color w:val="000000"/>
                <w:sz w:val="24"/>
                <w:szCs w:val="24"/>
                <w:lang w:eastAsia="fr-FR"/>
              </w:rPr>
              <w:t xml:space="preserve">UI/L : Unité International par Litre </w:t>
            </w:r>
          </w:p>
        </w:tc>
      </w:tr>
      <w:tr w:rsidR="001D4718" w:rsidRPr="003323F1" w:rsidTr="00556101">
        <w:trPr>
          <w:trHeight w:val="299"/>
        </w:trPr>
        <w:tc>
          <w:tcPr>
            <w:tcW w:w="8110" w:type="dxa"/>
            <w:noWrap/>
            <w:hideMark/>
          </w:tcPr>
          <w:p w:rsidR="001D4718" w:rsidRPr="003323F1" w:rsidRDefault="001D4718" w:rsidP="0044739A">
            <w:pPr>
              <w:spacing w:line="360" w:lineRule="auto"/>
              <w:jc w:val="both"/>
              <w:rPr>
                <w:rFonts w:asciiTheme="majorBidi" w:eastAsia="Times New Roman" w:hAnsiTheme="majorBidi" w:cstheme="majorBidi"/>
                <w:color w:val="000000"/>
                <w:sz w:val="24"/>
                <w:szCs w:val="24"/>
                <w:lang w:eastAsia="fr-FR"/>
              </w:rPr>
            </w:pPr>
            <w:r w:rsidRPr="003323F1">
              <w:rPr>
                <w:rFonts w:asciiTheme="majorBidi" w:eastAsia="Times New Roman" w:hAnsiTheme="majorBidi" w:cstheme="majorBidi"/>
                <w:color w:val="000000"/>
                <w:sz w:val="24"/>
                <w:szCs w:val="24"/>
                <w:lang w:eastAsia="fr-FR"/>
              </w:rPr>
              <w:t xml:space="preserve">UTR : </w:t>
            </w:r>
            <w:r>
              <w:rPr>
                <w:rFonts w:asciiTheme="majorBidi" w:eastAsia="Times New Roman" w:hAnsiTheme="majorBidi" w:cstheme="majorBidi"/>
                <w:color w:val="000000"/>
                <w:sz w:val="24"/>
                <w:szCs w:val="24"/>
                <w:lang w:eastAsia="fr-FR"/>
              </w:rPr>
              <w:t>U</w:t>
            </w:r>
            <w:r w:rsidRPr="003323F1">
              <w:rPr>
                <w:rFonts w:asciiTheme="majorBidi" w:eastAsia="Times New Roman" w:hAnsiTheme="majorBidi" w:cstheme="majorBidi"/>
                <w:color w:val="000000"/>
                <w:sz w:val="24"/>
                <w:szCs w:val="24"/>
                <w:lang w:eastAsia="fr-FR"/>
              </w:rPr>
              <w:t>ntranslater</w:t>
            </w:r>
            <w:r>
              <w:rPr>
                <w:rFonts w:asciiTheme="majorBidi" w:eastAsia="Times New Roman" w:hAnsiTheme="majorBidi" w:cstheme="majorBidi"/>
                <w:color w:val="000000"/>
                <w:sz w:val="24"/>
                <w:szCs w:val="24"/>
                <w:lang w:eastAsia="fr-FR"/>
              </w:rPr>
              <w:t xml:space="preserve"> R</w:t>
            </w:r>
            <w:r w:rsidRPr="003323F1">
              <w:rPr>
                <w:rFonts w:asciiTheme="majorBidi" w:eastAsia="Times New Roman" w:hAnsiTheme="majorBidi" w:cstheme="majorBidi"/>
                <w:color w:val="000000"/>
                <w:sz w:val="24"/>
                <w:szCs w:val="24"/>
                <w:lang w:eastAsia="fr-FR"/>
              </w:rPr>
              <w:t>egion</w:t>
            </w:r>
            <w:r>
              <w:rPr>
                <w:rFonts w:asciiTheme="majorBidi" w:eastAsia="Times New Roman" w:hAnsiTheme="majorBidi" w:cstheme="majorBidi"/>
                <w:color w:val="000000"/>
                <w:sz w:val="24"/>
                <w:szCs w:val="24"/>
                <w:lang w:eastAsia="fr-FR"/>
              </w:rPr>
              <w:t xml:space="preserve"> </w:t>
            </w:r>
          </w:p>
        </w:tc>
      </w:tr>
      <w:tr w:rsidR="001D4718" w:rsidRPr="003323F1" w:rsidTr="00556101">
        <w:trPr>
          <w:trHeight w:val="299"/>
        </w:trPr>
        <w:tc>
          <w:tcPr>
            <w:tcW w:w="8110" w:type="dxa"/>
            <w:noWrap/>
            <w:hideMark/>
          </w:tcPr>
          <w:p w:rsidR="001D4718" w:rsidRPr="003323F1" w:rsidRDefault="001D4718" w:rsidP="00556101">
            <w:pPr>
              <w:spacing w:line="360" w:lineRule="auto"/>
              <w:jc w:val="both"/>
              <w:rPr>
                <w:rFonts w:asciiTheme="majorBidi" w:eastAsia="Times New Roman" w:hAnsiTheme="majorBidi" w:cstheme="majorBidi"/>
                <w:color w:val="000000"/>
                <w:sz w:val="24"/>
                <w:szCs w:val="24"/>
                <w:lang w:eastAsia="fr-FR"/>
              </w:rPr>
            </w:pPr>
            <w:r w:rsidRPr="003323F1">
              <w:rPr>
                <w:rFonts w:asciiTheme="majorBidi" w:eastAsia="Times New Roman" w:hAnsiTheme="majorBidi" w:cstheme="majorBidi"/>
                <w:color w:val="000000"/>
                <w:sz w:val="24"/>
                <w:szCs w:val="24"/>
                <w:lang w:eastAsia="fr-FR"/>
              </w:rPr>
              <w:t>VHB : Virus de l’Hépatite B</w:t>
            </w:r>
          </w:p>
        </w:tc>
      </w:tr>
      <w:tr w:rsidR="001D4718" w:rsidRPr="003323F1" w:rsidTr="00556101">
        <w:trPr>
          <w:trHeight w:val="299"/>
        </w:trPr>
        <w:tc>
          <w:tcPr>
            <w:tcW w:w="8110" w:type="dxa"/>
            <w:noWrap/>
            <w:hideMark/>
          </w:tcPr>
          <w:p w:rsidR="001D4718" w:rsidRPr="003323F1" w:rsidRDefault="001D4718" w:rsidP="00556101">
            <w:pPr>
              <w:spacing w:line="360" w:lineRule="auto"/>
              <w:jc w:val="both"/>
              <w:rPr>
                <w:rFonts w:asciiTheme="majorBidi" w:eastAsia="Times New Roman" w:hAnsiTheme="majorBidi" w:cstheme="majorBidi"/>
                <w:color w:val="000000"/>
                <w:sz w:val="24"/>
                <w:szCs w:val="24"/>
                <w:lang w:eastAsia="fr-FR"/>
              </w:rPr>
            </w:pPr>
            <w:r w:rsidRPr="003323F1">
              <w:rPr>
                <w:rFonts w:asciiTheme="majorBidi" w:eastAsia="Times New Roman" w:hAnsiTheme="majorBidi" w:cstheme="majorBidi"/>
                <w:color w:val="000000"/>
                <w:sz w:val="24"/>
                <w:szCs w:val="24"/>
                <w:lang w:eastAsia="fr-FR"/>
              </w:rPr>
              <w:t>VHC : Virus de l’Hépatite C</w:t>
            </w:r>
          </w:p>
        </w:tc>
      </w:tr>
      <w:tr w:rsidR="001D4718" w:rsidRPr="003323F1" w:rsidTr="00556101">
        <w:trPr>
          <w:trHeight w:val="299"/>
        </w:trPr>
        <w:tc>
          <w:tcPr>
            <w:tcW w:w="8110" w:type="dxa"/>
            <w:noWrap/>
            <w:hideMark/>
          </w:tcPr>
          <w:p w:rsidR="001D4718" w:rsidRPr="003323F1" w:rsidRDefault="001D4718" w:rsidP="00556101">
            <w:pPr>
              <w:spacing w:line="360" w:lineRule="auto"/>
              <w:jc w:val="both"/>
              <w:rPr>
                <w:rFonts w:asciiTheme="majorBidi" w:eastAsia="Times New Roman" w:hAnsiTheme="majorBidi" w:cstheme="majorBidi"/>
                <w:color w:val="000000"/>
                <w:sz w:val="24"/>
                <w:szCs w:val="24"/>
                <w:lang w:eastAsia="fr-FR"/>
              </w:rPr>
            </w:pPr>
            <w:r w:rsidRPr="003323F1">
              <w:rPr>
                <w:rFonts w:asciiTheme="majorBidi" w:eastAsia="Times New Roman" w:hAnsiTheme="majorBidi" w:cstheme="majorBidi"/>
                <w:color w:val="000000"/>
                <w:sz w:val="24"/>
                <w:szCs w:val="24"/>
                <w:lang w:eastAsia="fr-FR"/>
              </w:rPr>
              <w:t>VIH : Virus de l'Immunodéficience Humaine</w:t>
            </w:r>
          </w:p>
        </w:tc>
      </w:tr>
      <w:tr w:rsidR="001D4718" w:rsidRPr="000736E4" w:rsidTr="00556101">
        <w:trPr>
          <w:trHeight w:val="151"/>
        </w:trPr>
        <w:tc>
          <w:tcPr>
            <w:tcW w:w="8110" w:type="dxa"/>
            <w:noWrap/>
            <w:hideMark/>
          </w:tcPr>
          <w:p w:rsidR="001D4718" w:rsidRPr="008F1D72" w:rsidRDefault="001D4718" w:rsidP="0044739A">
            <w:pPr>
              <w:spacing w:line="360" w:lineRule="auto"/>
              <w:jc w:val="both"/>
              <w:rPr>
                <w:rFonts w:asciiTheme="majorBidi" w:eastAsia="Times New Roman" w:hAnsiTheme="majorBidi" w:cstheme="majorBidi"/>
                <w:color w:val="000000"/>
                <w:sz w:val="24"/>
                <w:szCs w:val="24"/>
                <w:lang w:eastAsia="fr-FR"/>
              </w:rPr>
            </w:pPr>
            <w:r w:rsidRPr="008F1D72">
              <w:rPr>
                <w:rFonts w:asciiTheme="majorBidi" w:eastAsia="Times New Roman" w:hAnsiTheme="majorBidi" w:cstheme="majorBidi"/>
                <w:color w:val="000000"/>
                <w:sz w:val="24"/>
                <w:szCs w:val="24"/>
                <w:lang w:eastAsia="fr-FR"/>
              </w:rPr>
              <w:t xml:space="preserve">VLDL : Very  Low Density Lipoproteins </w:t>
            </w: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360" w:lineRule="auto"/>
              <w:jc w:val="both"/>
              <w:rPr>
                <w:rFonts w:asciiTheme="majorBidi" w:eastAsia="Times New Roman" w:hAnsiTheme="majorBidi" w:cstheme="majorBidi"/>
                <w:color w:val="000000"/>
                <w:sz w:val="24"/>
                <w:szCs w:val="24"/>
                <w:lang w:eastAsia="fr-FR"/>
              </w:rPr>
            </w:pPr>
          </w:p>
          <w:p w:rsidR="001D4718" w:rsidRPr="008F1D72" w:rsidRDefault="001D4718" w:rsidP="00556101">
            <w:pPr>
              <w:spacing w:line="240" w:lineRule="auto"/>
              <w:ind w:left="-142"/>
              <w:jc w:val="center"/>
              <w:rPr>
                <w:rFonts w:asciiTheme="majorBidi" w:eastAsiaTheme="minorEastAsia" w:hAnsiTheme="majorBidi" w:cstheme="majorBidi"/>
                <w:b/>
                <w:bCs/>
                <w:i/>
                <w:iCs/>
                <w:color w:val="7030A0"/>
                <w:sz w:val="40"/>
                <w:szCs w:val="40"/>
                <w:lang w:eastAsia="fr-FR"/>
              </w:rPr>
            </w:pPr>
            <w:r w:rsidRPr="008F1D72">
              <w:rPr>
                <w:rFonts w:asciiTheme="majorBidi" w:eastAsiaTheme="minorEastAsia" w:hAnsiTheme="majorBidi" w:cstheme="majorBidi"/>
                <w:b/>
                <w:bCs/>
                <w:i/>
                <w:iCs/>
                <w:color w:val="7030A0"/>
                <w:sz w:val="40"/>
                <w:szCs w:val="40"/>
                <w:lang w:eastAsia="fr-FR"/>
              </w:rPr>
              <w:lastRenderedPageBreak/>
              <w:t>Liste des figures</w:t>
            </w:r>
          </w:p>
          <w:tbl>
            <w:tblPr>
              <w:tblStyle w:val="Grilledutableau"/>
              <w:tblW w:w="1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6666"/>
              <w:gridCol w:w="1675"/>
            </w:tblGrid>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b/>
                      <w:bCs/>
                      <w:sz w:val="24"/>
                      <w:szCs w:val="24"/>
                    </w:rPr>
                    <w:t>Figure</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b/>
                      <w:bCs/>
                      <w:sz w:val="24"/>
                      <w:szCs w:val="24"/>
                    </w:rPr>
                    <w:t>Titre</w:t>
                  </w:r>
                </w:p>
              </w:tc>
              <w:tc>
                <w:tcPr>
                  <w:tcW w:w="1675" w:type="dxa"/>
                </w:tcPr>
                <w:p w:rsidR="001D4718" w:rsidRPr="000736E4" w:rsidRDefault="001D4718" w:rsidP="00556101">
                  <w:pPr>
                    <w:framePr w:hSpace="141" w:wrap="around" w:vAnchor="page" w:hAnchor="margin" w:y="2446"/>
                    <w:rPr>
                      <w:rFonts w:asciiTheme="majorBidi" w:hAnsiTheme="majorBidi" w:cstheme="majorBidi"/>
                      <w:b/>
                      <w:bCs/>
                      <w:sz w:val="24"/>
                      <w:szCs w:val="24"/>
                    </w:rPr>
                  </w:pPr>
                  <w:r w:rsidRPr="000736E4">
                    <w:rPr>
                      <w:rFonts w:asciiTheme="majorBidi" w:hAnsiTheme="majorBidi" w:cstheme="majorBidi"/>
                      <w:b/>
                      <w:bCs/>
                      <w:sz w:val="24"/>
                      <w:szCs w:val="24"/>
                    </w:rPr>
                    <w:t xml:space="preserve">Page </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I.1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iCs/>
                      <w:sz w:val="24"/>
                      <w:szCs w:val="24"/>
                    </w:rPr>
                    <w:t>Structure de la particule virale</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4</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I.2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iCs/>
                      <w:sz w:val="24"/>
                      <w:szCs w:val="24"/>
                    </w:rPr>
                    <w:t>Cycle de réplication du VHC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5</w:t>
                  </w:r>
                </w:p>
              </w:tc>
            </w:tr>
            <w:tr w:rsidR="001D4718" w:rsidRPr="000736E4" w:rsidTr="00556101">
              <w:trPr>
                <w:trHeight w:val="356"/>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I.3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Modèle d’entrée du VHC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7</w:t>
                  </w:r>
                </w:p>
              </w:tc>
            </w:tr>
            <w:tr w:rsidR="001D4718" w:rsidRPr="000736E4" w:rsidTr="00556101">
              <w:trPr>
                <w:trHeight w:val="356"/>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I.4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Traduction et maturation des protéines du VHC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8</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pacing w:val="1"/>
                      <w:sz w:val="24"/>
                      <w:szCs w:val="24"/>
                      <w:lang w:eastAsia="fr-FR"/>
                    </w:rPr>
                    <w:t>F</w:t>
                  </w:r>
                  <w:r w:rsidRPr="000736E4">
                    <w:rPr>
                      <w:rFonts w:asciiTheme="majorBidi" w:hAnsiTheme="majorBidi" w:cstheme="majorBidi"/>
                      <w:sz w:val="24"/>
                      <w:szCs w:val="24"/>
                      <w:lang w:eastAsia="fr-FR"/>
                    </w:rPr>
                    <w:t>i</w:t>
                  </w:r>
                  <w:r w:rsidRPr="000736E4">
                    <w:rPr>
                      <w:rFonts w:asciiTheme="majorBidi" w:hAnsiTheme="majorBidi" w:cstheme="majorBidi"/>
                      <w:spacing w:val="1"/>
                      <w:sz w:val="24"/>
                      <w:szCs w:val="24"/>
                      <w:lang w:eastAsia="fr-FR"/>
                    </w:rPr>
                    <w:t>gu</w:t>
                  </w:r>
                  <w:r w:rsidRPr="000736E4">
                    <w:rPr>
                      <w:rFonts w:asciiTheme="majorBidi" w:hAnsiTheme="majorBidi" w:cstheme="majorBidi"/>
                      <w:spacing w:val="-1"/>
                      <w:sz w:val="24"/>
                      <w:szCs w:val="24"/>
                      <w:lang w:eastAsia="fr-FR"/>
                    </w:rPr>
                    <w:t>r</w:t>
                  </w:r>
                  <w:r w:rsidRPr="000736E4">
                    <w:rPr>
                      <w:rFonts w:asciiTheme="majorBidi" w:hAnsiTheme="majorBidi" w:cstheme="majorBidi"/>
                      <w:sz w:val="24"/>
                      <w:szCs w:val="24"/>
                      <w:lang w:eastAsia="fr-FR"/>
                    </w:rPr>
                    <w:t xml:space="preserve">e I.5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Distribution mondiale des génotypes viraux du VHC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10</w:t>
                  </w:r>
                </w:p>
              </w:tc>
            </w:tr>
            <w:tr w:rsidR="001D4718" w:rsidRPr="000736E4" w:rsidTr="00556101">
              <w:trPr>
                <w:trHeight w:val="356"/>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I.6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Prévalence mondiale de l’hépatite chronique 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11</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I.7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iCs/>
                      <w:sz w:val="24"/>
                      <w:szCs w:val="24"/>
                    </w:rPr>
                    <w:t>Histoire naturelle de l’hépatite 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12</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I.8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Anatomie du foie</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14</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I.9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Structure d’une lipoprotéine</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15</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I.10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Schéma récapitulatif des voies métaboliques des lipides</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18</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I.11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Voie des lipides exogènes</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19</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I.12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Production des ApoB 100</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20</w:t>
                  </w:r>
                </w:p>
              </w:tc>
            </w:tr>
            <w:tr w:rsidR="001D4718" w:rsidRPr="000736E4" w:rsidTr="00556101">
              <w:trPr>
                <w:trHeight w:val="424"/>
              </w:trPr>
              <w:tc>
                <w:tcPr>
                  <w:tcW w:w="1693" w:type="dxa"/>
                </w:tcPr>
                <w:p w:rsidR="001D4718" w:rsidRPr="000736E4" w:rsidRDefault="001D4718" w:rsidP="00556101">
                  <w:pPr>
                    <w:framePr w:hSpace="141" w:wrap="around" w:vAnchor="page" w:hAnchor="margin" w:y="2446"/>
                    <w:spacing w:line="360" w:lineRule="auto"/>
                    <w:jc w:val="both"/>
                    <w:rPr>
                      <w:rFonts w:asciiTheme="majorBidi" w:hAnsiTheme="majorBidi" w:cstheme="majorBidi"/>
                      <w:sz w:val="24"/>
                      <w:szCs w:val="24"/>
                    </w:rPr>
                  </w:pPr>
                  <w:r w:rsidRPr="000736E4">
                    <w:rPr>
                      <w:rFonts w:asciiTheme="majorBidi" w:hAnsiTheme="majorBidi" w:cstheme="majorBidi"/>
                      <w:sz w:val="24"/>
                      <w:szCs w:val="24"/>
                    </w:rPr>
                    <w:t xml:space="preserve">Figure I.13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Modèle d'assemblage des VLDL</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21</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I.14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Voie des lipides endogènes</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22</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spacing w:line="360" w:lineRule="auto"/>
                    <w:jc w:val="both"/>
                    <w:rPr>
                      <w:rFonts w:asciiTheme="majorBidi" w:hAnsiTheme="majorBidi" w:cstheme="majorBidi"/>
                      <w:sz w:val="24"/>
                      <w:szCs w:val="24"/>
                    </w:rPr>
                  </w:pPr>
                  <w:r w:rsidRPr="000736E4">
                    <w:rPr>
                      <w:rFonts w:asciiTheme="majorBidi" w:hAnsiTheme="majorBidi" w:cstheme="majorBidi"/>
                      <w:sz w:val="24"/>
                      <w:szCs w:val="24"/>
                    </w:rPr>
                    <w:t xml:space="preserve">Figure I.15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Voie des lipides inverse (retour de cholestérol)</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23</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spacing w:line="360" w:lineRule="auto"/>
                    <w:jc w:val="both"/>
                    <w:rPr>
                      <w:rFonts w:asciiTheme="majorBidi" w:hAnsiTheme="majorBidi" w:cstheme="majorBidi"/>
                      <w:sz w:val="24"/>
                      <w:szCs w:val="24"/>
                    </w:rPr>
                  </w:pPr>
                  <w:r w:rsidRPr="000736E4">
                    <w:rPr>
                      <w:rFonts w:asciiTheme="majorBidi" w:hAnsiTheme="majorBidi" w:cstheme="majorBidi"/>
                      <w:sz w:val="24"/>
                      <w:szCs w:val="24"/>
                    </w:rPr>
                    <w:t xml:space="preserve">Figure I.16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Modèle de bourgeonnement des gouttelettes lipidiques</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25</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spacing w:line="360" w:lineRule="auto"/>
                    <w:jc w:val="both"/>
                    <w:rPr>
                      <w:rFonts w:asciiTheme="majorBidi" w:hAnsiTheme="majorBidi" w:cstheme="majorBidi"/>
                      <w:color w:val="231F20"/>
                      <w:sz w:val="24"/>
                      <w:szCs w:val="24"/>
                    </w:rPr>
                  </w:pPr>
                  <w:r w:rsidRPr="000736E4">
                    <w:rPr>
                      <w:rFonts w:asciiTheme="majorBidi" w:hAnsiTheme="majorBidi" w:cstheme="majorBidi"/>
                      <w:sz w:val="24"/>
                      <w:szCs w:val="24"/>
                    </w:rPr>
                    <w:t xml:space="preserve">Figure I.17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color w:val="231F20"/>
                      <w:sz w:val="24"/>
                      <w:szCs w:val="24"/>
                    </w:rPr>
                    <w:t>Représentation schématique de SR-BI, CD81 et CLDN1</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28</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spacing w:line="360" w:lineRule="auto"/>
                    <w:jc w:val="both"/>
                    <w:rPr>
                      <w:rFonts w:asciiTheme="majorBidi" w:hAnsiTheme="majorBidi" w:cstheme="majorBidi"/>
                      <w:color w:val="231F20"/>
                      <w:sz w:val="24"/>
                      <w:szCs w:val="24"/>
                    </w:rPr>
                  </w:pPr>
                  <w:r w:rsidRPr="000736E4">
                    <w:rPr>
                      <w:rFonts w:asciiTheme="majorBidi" w:hAnsiTheme="majorBidi" w:cstheme="majorBidi"/>
                      <w:color w:val="231F20"/>
                      <w:sz w:val="24"/>
                      <w:szCs w:val="24"/>
                    </w:rPr>
                    <w:t xml:space="preserve">Figure I.18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Cycle viral hypothétique du VHC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29</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Figure I.19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 xml:space="preserve">Mécanisme hypothétique de l’induction de la stéatose par la   protéine decapside par interaction avec le métabolisme lipidique  </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31</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spacing w:line="360" w:lineRule="auto"/>
                    <w:rPr>
                      <w:rFonts w:asciiTheme="majorBidi" w:hAnsiTheme="majorBidi" w:cstheme="majorBidi"/>
                      <w:sz w:val="24"/>
                      <w:szCs w:val="24"/>
                    </w:rPr>
                  </w:pPr>
                  <w:r w:rsidRPr="000736E4">
                    <w:rPr>
                      <w:rFonts w:asciiTheme="majorBidi" w:hAnsiTheme="majorBidi" w:cstheme="majorBidi"/>
                      <w:sz w:val="24"/>
                      <w:szCs w:val="24"/>
                    </w:rPr>
                    <w:t xml:space="preserve">Figure I.20              </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Modèle d’assemblage et de sécrétion des particules virales du VHC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31</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spacing w:line="360" w:lineRule="auto"/>
                    <w:jc w:val="both"/>
                    <w:rPr>
                      <w:rFonts w:asciiTheme="majorBidi" w:hAnsiTheme="majorBidi" w:cstheme="majorBidi"/>
                      <w:bCs/>
                      <w:sz w:val="24"/>
                      <w:szCs w:val="24"/>
                    </w:rPr>
                  </w:pPr>
                  <w:r w:rsidRPr="000736E4">
                    <w:rPr>
                      <w:rFonts w:asciiTheme="majorBidi" w:hAnsiTheme="majorBidi" w:cstheme="majorBidi"/>
                      <w:bCs/>
                      <w:sz w:val="24"/>
                      <w:szCs w:val="24"/>
                    </w:rPr>
                    <w:t>Figure III.1</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bCs/>
                      <w:sz w:val="24"/>
                      <w:szCs w:val="24"/>
                    </w:rPr>
                    <w:t>Répartition des malades atteints d’hépatite chronique C selon le sexe</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42</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spacing w:line="360" w:lineRule="auto"/>
                    <w:jc w:val="both"/>
                    <w:rPr>
                      <w:rFonts w:asciiTheme="majorBidi" w:hAnsiTheme="majorBidi" w:cstheme="majorBidi"/>
                      <w:bCs/>
                      <w:sz w:val="24"/>
                      <w:szCs w:val="24"/>
                    </w:rPr>
                  </w:pPr>
                  <w:r w:rsidRPr="000736E4">
                    <w:rPr>
                      <w:rFonts w:asciiTheme="majorBidi" w:hAnsiTheme="majorBidi" w:cstheme="majorBidi"/>
                      <w:bCs/>
                      <w:sz w:val="24"/>
                      <w:szCs w:val="24"/>
                    </w:rPr>
                    <w:t>Figure III.2</w:t>
                  </w: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bCs/>
                      <w:sz w:val="24"/>
                      <w:szCs w:val="24"/>
                    </w:rPr>
                    <w:t>Répartition des malades atteints d’hépatite chronique C selon l’âge</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43</w:t>
                  </w:r>
                </w:p>
              </w:tc>
            </w:tr>
            <w:tr w:rsidR="001D4718" w:rsidRPr="000736E4" w:rsidTr="00556101">
              <w:trPr>
                <w:trHeight w:val="732"/>
              </w:trPr>
              <w:tc>
                <w:tcPr>
                  <w:tcW w:w="1693" w:type="dxa"/>
                </w:tcPr>
                <w:p w:rsidR="001D4718" w:rsidRPr="000736E4" w:rsidRDefault="001D4718" w:rsidP="00556101">
                  <w:pPr>
                    <w:pStyle w:val="Lgende"/>
                    <w:framePr w:hSpace="141" w:wrap="around" w:vAnchor="page" w:hAnchor="margin" w:y="2446"/>
                    <w:spacing w:after="0" w:line="360" w:lineRule="auto"/>
                    <w:rPr>
                      <w:rFonts w:asciiTheme="majorBidi" w:hAnsiTheme="majorBidi" w:cstheme="majorBidi"/>
                      <w:sz w:val="24"/>
                      <w:szCs w:val="24"/>
                    </w:rPr>
                  </w:pPr>
                  <w:r w:rsidRPr="000736E4">
                    <w:rPr>
                      <w:rFonts w:asciiTheme="majorBidi" w:hAnsiTheme="majorBidi" w:cstheme="majorBidi"/>
                      <w:b w:val="0"/>
                      <w:bCs w:val="0"/>
                      <w:color w:val="auto"/>
                      <w:sz w:val="24"/>
                      <w:szCs w:val="24"/>
                    </w:rPr>
                    <w:t xml:space="preserve">Figure III.3            </w:t>
                  </w:r>
                </w:p>
              </w:tc>
              <w:tc>
                <w:tcPr>
                  <w:tcW w:w="6666" w:type="dxa"/>
                </w:tcPr>
                <w:p w:rsidR="001D4718" w:rsidRPr="000736E4" w:rsidRDefault="001D4718" w:rsidP="00556101">
                  <w:pPr>
                    <w:pStyle w:val="Lgende"/>
                    <w:framePr w:hSpace="141" w:wrap="around" w:vAnchor="page" w:hAnchor="margin" w:y="2446"/>
                    <w:spacing w:after="0"/>
                    <w:rPr>
                      <w:rFonts w:asciiTheme="majorBidi" w:hAnsiTheme="majorBidi" w:cstheme="majorBidi"/>
                      <w:b w:val="0"/>
                      <w:bCs w:val="0"/>
                      <w:color w:val="auto"/>
                      <w:sz w:val="24"/>
                      <w:szCs w:val="24"/>
                    </w:rPr>
                  </w:pPr>
                  <w:r w:rsidRPr="000736E4">
                    <w:rPr>
                      <w:rFonts w:asciiTheme="majorBidi" w:hAnsiTheme="majorBidi" w:cstheme="majorBidi"/>
                      <w:b w:val="0"/>
                      <w:bCs w:val="0"/>
                      <w:color w:val="auto"/>
                      <w:sz w:val="24"/>
                      <w:szCs w:val="24"/>
                    </w:rPr>
                    <w:t xml:space="preserve">Corrélation entre les taux de cholestérol et les stades de fibrose hépatique  dans le groupe VHC+                               </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50</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spacing w:after="0" w:line="360" w:lineRule="auto"/>
                    <w:rPr>
                      <w:rFonts w:asciiTheme="majorBidi" w:hAnsiTheme="majorBidi" w:cstheme="majorBidi"/>
                      <w:sz w:val="24"/>
                      <w:szCs w:val="24"/>
                    </w:rPr>
                  </w:pPr>
                  <w:r w:rsidRPr="000736E4">
                    <w:rPr>
                      <w:rFonts w:asciiTheme="majorBidi" w:hAnsiTheme="majorBidi" w:cstheme="majorBidi"/>
                      <w:bCs/>
                      <w:sz w:val="24"/>
                      <w:szCs w:val="24"/>
                    </w:rPr>
                    <w:t xml:space="preserve">Figure III.4           </w:t>
                  </w:r>
                </w:p>
              </w:tc>
              <w:tc>
                <w:tcPr>
                  <w:tcW w:w="6666" w:type="dxa"/>
                </w:tcPr>
                <w:p w:rsidR="001D4718" w:rsidRPr="000736E4" w:rsidRDefault="001D4718" w:rsidP="00556101">
                  <w:pPr>
                    <w:framePr w:hSpace="141" w:wrap="around" w:vAnchor="page" w:hAnchor="margin" w:y="2446"/>
                    <w:spacing w:after="0" w:line="240" w:lineRule="auto"/>
                    <w:rPr>
                      <w:rFonts w:asciiTheme="majorBidi" w:hAnsiTheme="majorBidi" w:cstheme="majorBidi"/>
                      <w:bCs/>
                      <w:sz w:val="24"/>
                      <w:szCs w:val="24"/>
                    </w:rPr>
                  </w:pPr>
                  <w:r w:rsidRPr="000736E4">
                    <w:rPr>
                      <w:rFonts w:asciiTheme="majorBidi" w:hAnsiTheme="majorBidi" w:cstheme="majorBidi"/>
                      <w:bCs/>
                      <w:sz w:val="24"/>
                      <w:szCs w:val="24"/>
                    </w:rPr>
                    <w:t xml:space="preserve">Corrélation entres les taux d’LDL et les stades de fibrose hépatique dans le      </w:t>
                  </w:r>
                </w:p>
                <w:p w:rsidR="001D4718" w:rsidRPr="000736E4" w:rsidRDefault="001D4718" w:rsidP="00556101">
                  <w:pPr>
                    <w:framePr w:hSpace="141" w:wrap="around" w:vAnchor="page" w:hAnchor="margin" w:y="2446"/>
                    <w:spacing w:after="0" w:line="240" w:lineRule="auto"/>
                    <w:rPr>
                      <w:rFonts w:asciiTheme="majorBidi" w:hAnsiTheme="majorBidi" w:cstheme="majorBidi"/>
                      <w:bCs/>
                      <w:sz w:val="24"/>
                      <w:szCs w:val="24"/>
                    </w:rPr>
                  </w:pPr>
                  <w:r w:rsidRPr="000736E4">
                    <w:rPr>
                      <w:rFonts w:asciiTheme="majorBidi" w:hAnsiTheme="majorBidi" w:cstheme="majorBidi"/>
                      <w:bCs/>
                      <w:sz w:val="24"/>
                      <w:szCs w:val="24"/>
                    </w:rPr>
                    <w:t xml:space="preserve">groupe VHC+                        </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50</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spacing w:line="360" w:lineRule="auto"/>
                    <w:rPr>
                      <w:rFonts w:asciiTheme="majorBidi" w:hAnsiTheme="majorBidi" w:cstheme="majorBidi"/>
                      <w:sz w:val="24"/>
                      <w:szCs w:val="24"/>
                    </w:rPr>
                  </w:pPr>
                  <w:r w:rsidRPr="000736E4">
                    <w:rPr>
                      <w:rFonts w:asciiTheme="majorBidi" w:hAnsiTheme="majorBidi" w:cstheme="majorBidi"/>
                      <w:bCs/>
                      <w:sz w:val="24"/>
                      <w:szCs w:val="24"/>
                    </w:rPr>
                    <w:lastRenderedPageBreak/>
                    <w:t xml:space="preserve">Figure III.5            </w:t>
                  </w:r>
                </w:p>
              </w:tc>
              <w:tc>
                <w:tcPr>
                  <w:tcW w:w="6666" w:type="dxa"/>
                </w:tcPr>
                <w:p w:rsidR="001D4718" w:rsidRPr="000736E4" w:rsidRDefault="001D4718" w:rsidP="00556101">
                  <w:pPr>
                    <w:framePr w:hSpace="141" w:wrap="around" w:vAnchor="page" w:hAnchor="margin" w:y="2446"/>
                    <w:spacing w:line="240" w:lineRule="auto"/>
                    <w:rPr>
                      <w:rFonts w:asciiTheme="majorBidi" w:hAnsiTheme="majorBidi" w:cstheme="majorBidi"/>
                      <w:bCs/>
                      <w:sz w:val="24"/>
                      <w:szCs w:val="24"/>
                    </w:rPr>
                  </w:pPr>
                  <w:r w:rsidRPr="000736E4">
                    <w:rPr>
                      <w:rFonts w:asciiTheme="majorBidi" w:hAnsiTheme="majorBidi" w:cstheme="majorBidi"/>
                      <w:bCs/>
                      <w:sz w:val="24"/>
                      <w:szCs w:val="24"/>
                    </w:rPr>
                    <w:t>Corrélation entre les taux d’HDL et les stades de fibrose hépatique dans le groupe VHC+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51</w:t>
                  </w:r>
                </w:p>
              </w:tc>
            </w:tr>
            <w:tr w:rsidR="001D4718" w:rsidRPr="000736E4" w:rsidTr="00556101">
              <w:trPr>
                <w:trHeight w:val="791"/>
              </w:trPr>
              <w:tc>
                <w:tcPr>
                  <w:tcW w:w="1693" w:type="dxa"/>
                </w:tcPr>
                <w:p w:rsidR="001D4718" w:rsidRPr="000736E4" w:rsidRDefault="001D4718" w:rsidP="00556101">
                  <w:pPr>
                    <w:framePr w:hSpace="141" w:wrap="around" w:vAnchor="page" w:hAnchor="margin" w:y="2446"/>
                    <w:spacing w:line="360" w:lineRule="auto"/>
                    <w:rPr>
                      <w:rFonts w:asciiTheme="majorBidi" w:hAnsiTheme="majorBidi" w:cstheme="majorBidi"/>
                      <w:sz w:val="24"/>
                      <w:szCs w:val="24"/>
                    </w:rPr>
                  </w:pPr>
                  <w:r w:rsidRPr="000736E4">
                    <w:rPr>
                      <w:rFonts w:asciiTheme="majorBidi" w:hAnsiTheme="majorBidi" w:cstheme="majorBidi"/>
                      <w:bCs/>
                      <w:sz w:val="24"/>
                      <w:szCs w:val="24"/>
                    </w:rPr>
                    <w:t xml:space="preserve">Figure III.6             </w:t>
                  </w:r>
                </w:p>
              </w:tc>
              <w:tc>
                <w:tcPr>
                  <w:tcW w:w="6666" w:type="dxa"/>
                </w:tcPr>
                <w:p w:rsidR="001D4718" w:rsidRPr="000736E4" w:rsidRDefault="001D4718" w:rsidP="00556101">
                  <w:pPr>
                    <w:framePr w:hSpace="141" w:wrap="around" w:vAnchor="page" w:hAnchor="margin" w:y="2446"/>
                    <w:spacing w:line="240" w:lineRule="auto"/>
                    <w:rPr>
                      <w:rFonts w:asciiTheme="majorBidi" w:hAnsiTheme="majorBidi" w:cstheme="majorBidi"/>
                      <w:bCs/>
                      <w:sz w:val="24"/>
                      <w:szCs w:val="24"/>
                    </w:rPr>
                  </w:pPr>
                  <w:r w:rsidRPr="000736E4">
                    <w:rPr>
                      <w:rFonts w:asciiTheme="majorBidi" w:hAnsiTheme="majorBidi" w:cstheme="majorBidi"/>
                      <w:bCs/>
                      <w:sz w:val="24"/>
                      <w:szCs w:val="24"/>
                    </w:rPr>
                    <w:t>Corrélation entre les taux de TG et les stades de fibrose hépatique dans le groupe VHC+</w:t>
                  </w: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r w:rsidRPr="000736E4">
                    <w:rPr>
                      <w:rFonts w:asciiTheme="majorBidi" w:hAnsiTheme="majorBidi" w:cstheme="majorBidi"/>
                      <w:sz w:val="24"/>
                      <w:szCs w:val="24"/>
                    </w:rPr>
                    <w:t>51</w:t>
                  </w: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p>
              </w:tc>
            </w:tr>
            <w:tr w:rsidR="001D4718" w:rsidRPr="000736E4" w:rsidTr="00556101">
              <w:trPr>
                <w:trHeight w:val="368"/>
              </w:trPr>
              <w:tc>
                <w:tcPr>
                  <w:tcW w:w="1693"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6666" w:type="dxa"/>
                </w:tcPr>
                <w:p w:rsidR="001D4718" w:rsidRPr="000736E4" w:rsidRDefault="001D4718" w:rsidP="00556101">
                  <w:pPr>
                    <w:framePr w:hSpace="141" w:wrap="around" w:vAnchor="page" w:hAnchor="margin" w:y="2446"/>
                    <w:rPr>
                      <w:rFonts w:asciiTheme="majorBidi" w:hAnsiTheme="majorBidi" w:cstheme="majorBidi"/>
                      <w:sz w:val="24"/>
                      <w:szCs w:val="24"/>
                    </w:rPr>
                  </w:pPr>
                </w:p>
              </w:tc>
              <w:tc>
                <w:tcPr>
                  <w:tcW w:w="1675" w:type="dxa"/>
                </w:tcPr>
                <w:p w:rsidR="001D4718" w:rsidRPr="000736E4" w:rsidRDefault="001D4718" w:rsidP="00556101">
                  <w:pPr>
                    <w:framePr w:hSpace="141" w:wrap="around" w:vAnchor="page" w:hAnchor="margin" w:y="2446"/>
                    <w:rPr>
                      <w:rFonts w:asciiTheme="majorBidi" w:hAnsiTheme="majorBidi" w:cstheme="majorBidi"/>
                      <w:sz w:val="24"/>
                      <w:szCs w:val="24"/>
                    </w:rPr>
                  </w:pPr>
                </w:p>
              </w:tc>
            </w:tr>
          </w:tbl>
          <w:p w:rsidR="001D4718" w:rsidRPr="000736E4" w:rsidRDefault="001D4718" w:rsidP="00556101">
            <w:pPr>
              <w:spacing w:line="240" w:lineRule="auto"/>
              <w:ind w:left="-142"/>
              <w:jc w:val="center"/>
              <w:rPr>
                <w:rFonts w:asciiTheme="majorBidi" w:eastAsiaTheme="minorEastAsia" w:hAnsiTheme="majorBidi" w:cstheme="majorBidi"/>
                <w:b/>
                <w:bCs/>
                <w:color w:val="7030A0"/>
                <w:sz w:val="24"/>
                <w:szCs w:val="24"/>
                <w:lang w:eastAsia="fr-FR"/>
              </w:rPr>
            </w:pPr>
          </w:p>
          <w:p w:rsidR="001D4718" w:rsidRPr="000736E4" w:rsidRDefault="001D4718" w:rsidP="00556101">
            <w:pPr>
              <w:spacing w:line="360" w:lineRule="auto"/>
              <w:jc w:val="both"/>
              <w:rPr>
                <w:rFonts w:asciiTheme="majorBidi" w:eastAsia="Times New Roman" w:hAnsiTheme="majorBidi" w:cstheme="majorBidi"/>
                <w:color w:val="000000"/>
                <w:sz w:val="24"/>
                <w:szCs w:val="24"/>
                <w:lang w:eastAsia="fr-FR"/>
              </w:rPr>
            </w:pPr>
          </w:p>
        </w:tc>
      </w:tr>
    </w:tbl>
    <w:p w:rsidR="00102D46" w:rsidRPr="000736E4" w:rsidRDefault="00102D46" w:rsidP="00102D46">
      <w:pPr>
        <w:jc w:val="both"/>
        <w:rPr>
          <w:rFonts w:asciiTheme="majorBidi" w:hAnsiTheme="majorBidi" w:cstheme="majorBidi"/>
          <w:sz w:val="24"/>
          <w:szCs w:val="24"/>
        </w:rPr>
      </w:pPr>
    </w:p>
    <w:p w:rsidR="0010728D" w:rsidRPr="000E53CA" w:rsidRDefault="0010728D" w:rsidP="0010728D">
      <w:pPr>
        <w:rPr>
          <w:rFonts w:asciiTheme="majorBidi" w:hAnsiTheme="majorBidi" w:cstheme="majorBidi"/>
          <w:bCs/>
          <w:sz w:val="36"/>
          <w:szCs w:val="36"/>
        </w:rPr>
      </w:pPr>
    </w:p>
    <w:p w:rsidR="00BF5DC7" w:rsidRDefault="00BF5DC7" w:rsidP="00BF5DC7"/>
    <w:p w:rsidR="003C680A" w:rsidRDefault="003C680A" w:rsidP="00BF5DC7"/>
    <w:p w:rsidR="003C680A" w:rsidRDefault="003C680A" w:rsidP="00BF5DC7"/>
    <w:p w:rsidR="003C680A" w:rsidRDefault="003C680A" w:rsidP="00BF5DC7"/>
    <w:p w:rsidR="003C680A" w:rsidRDefault="003C680A" w:rsidP="00BF5DC7"/>
    <w:p w:rsidR="003C680A" w:rsidRDefault="003C680A" w:rsidP="00BF5DC7"/>
    <w:p w:rsidR="003C680A" w:rsidRDefault="003C680A" w:rsidP="00BF5DC7"/>
    <w:p w:rsidR="003C680A" w:rsidRDefault="003C680A" w:rsidP="00BF5DC7"/>
    <w:p w:rsidR="003C680A" w:rsidRDefault="003C680A" w:rsidP="00BF5DC7"/>
    <w:p w:rsidR="003C680A" w:rsidRDefault="003C680A" w:rsidP="00BF5DC7"/>
    <w:p w:rsidR="003C680A" w:rsidRDefault="003C680A" w:rsidP="00BF5DC7"/>
    <w:p w:rsidR="003C680A" w:rsidRDefault="003C680A" w:rsidP="00BF5DC7"/>
    <w:p w:rsidR="003C680A" w:rsidRDefault="003C680A" w:rsidP="00BF5DC7"/>
    <w:p w:rsidR="000736E4" w:rsidRDefault="000736E4" w:rsidP="00BF5DC7"/>
    <w:p w:rsidR="003C680A" w:rsidRDefault="003C680A" w:rsidP="00BF5DC7"/>
    <w:p w:rsidR="003C680A" w:rsidRDefault="003C680A" w:rsidP="00BF5DC7"/>
    <w:p w:rsidR="003C680A" w:rsidRDefault="003C680A" w:rsidP="00BF5DC7"/>
    <w:p w:rsidR="00685F22" w:rsidRDefault="00685F22" w:rsidP="00BF5DC7"/>
    <w:p w:rsidR="003C680A" w:rsidRDefault="003C680A" w:rsidP="00BF5DC7"/>
    <w:p w:rsidR="00F13CB0" w:rsidRPr="00102D46" w:rsidRDefault="00F13CB0" w:rsidP="00F13CB0">
      <w:pPr>
        <w:spacing w:after="200" w:line="276" w:lineRule="auto"/>
        <w:rPr>
          <w:rFonts w:ascii="Century Schoolbook" w:hAnsi="Century Schoolbook"/>
          <w:color w:val="7030A0"/>
          <w:sz w:val="20"/>
          <w:szCs w:val="20"/>
        </w:rPr>
      </w:pPr>
      <w:r w:rsidRPr="00102D46">
        <w:rPr>
          <w:rFonts w:asciiTheme="majorBidi" w:eastAsiaTheme="minorEastAsia" w:hAnsiTheme="majorBidi" w:cs="Times New Roman"/>
          <w:b/>
          <w:bCs/>
          <w:i/>
          <w:iCs/>
          <w:color w:val="7030A0"/>
          <w:sz w:val="44"/>
          <w:szCs w:val="44"/>
          <w:lang w:eastAsia="fr-FR"/>
        </w:rPr>
        <w:lastRenderedPageBreak/>
        <w:t xml:space="preserve">                   Liste des tableaux</w:t>
      </w:r>
    </w:p>
    <w:tbl>
      <w:tblPr>
        <w:tblStyle w:val="Grilledutableau"/>
        <w:tblpPr w:leftFromText="141" w:rightFromText="141" w:vertAnchor="text" w:horzAnchor="margin" w:tblpY="58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7655"/>
        <w:gridCol w:w="709"/>
      </w:tblGrid>
      <w:tr w:rsidR="003C680A" w:rsidTr="00C44085">
        <w:trPr>
          <w:trHeight w:val="699"/>
        </w:trPr>
        <w:tc>
          <w:tcPr>
            <w:tcW w:w="1809" w:type="dxa"/>
            <w:hideMark/>
          </w:tcPr>
          <w:p w:rsidR="003C680A" w:rsidRDefault="003C680A" w:rsidP="00313380">
            <w:pPr>
              <w:spacing w:after="0" w:line="360" w:lineRule="auto"/>
              <w:rPr>
                <w:rFonts w:asciiTheme="majorBidi" w:hAnsiTheme="majorBidi" w:cs="Times New Roman"/>
                <w:b/>
                <w:bCs/>
                <w:sz w:val="24"/>
                <w:szCs w:val="24"/>
              </w:rPr>
            </w:pPr>
            <w:r>
              <w:rPr>
                <w:rFonts w:asciiTheme="majorBidi" w:hAnsiTheme="majorBidi" w:cs="Times New Roman"/>
                <w:b/>
                <w:bCs/>
                <w:sz w:val="24"/>
                <w:szCs w:val="24"/>
              </w:rPr>
              <w:t xml:space="preserve">Tableau </w:t>
            </w:r>
          </w:p>
        </w:tc>
        <w:tc>
          <w:tcPr>
            <w:tcW w:w="7655" w:type="dxa"/>
            <w:hideMark/>
          </w:tcPr>
          <w:p w:rsidR="003C680A" w:rsidRDefault="003C680A" w:rsidP="00313380">
            <w:pPr>
              <w:spacing w:after="0" w:line="240" w:lineRule="auto"/>
              <w:rPr>
                <w:rFonts w:asciiTheme="majorBidi" w:hAnsiTheme="majorBidi" w:cs="Times New Roman"/>
                <w:b/>
                <w:bCs/>
                <w:sz w:val="24"/>
                <w:szCs w:val="24"/>
              </w:rPr>
            </w:pPr>
            <w:r>
              <w:rPr>
                <w:rFonts w:asciiTheme="majorBidi" w:hAnsiTheme="majorBidi" w:cs="Times New Roman"/>
                <w:b/>
                <w:bCs/>
                <w:sz w:val="24"/>
                <w:szCs w:val="24"/>
              </w:rPr>
              <w:t>Titre</w:t>
            </w:r>
          </w:p>
        </w:tc>
        <w:tc>
          <w:tcPr>
            <w:tcW w:w="709" w:type="dxa"/>
            <w:hideMark/>
          </w:tcPr>
          <w:p w:rsidR="003C680A" w:rsidRPr="00313380" w:rsidRDefault="003C680A" w:rsidP="00313380">
            <w:pPr>
              <w:spacing w:after="0" w:line="240" w:lineRule="auto"/>
              <w:rPr>
                <w:rFonts w:asciiTheme="majorBidi" w:hAnsiTheme="majorBidi" w:cs="Times New Roman"/>
                <w:b/>
                <w:bCs/>
              </w:rPr>
            </w:pPr>
            <w:r w:rsidRPr="00313380">
              <w:rPr>
                <w:rFonts w:asciiTheme="majorBidi" w:hAnsiTheme="majorBidi" w:cs="Times New Roman"/>
                <w:b/>
                <w:bCs/>
              </w:rPr>
              <w:t>Page</w:t>
            </w:r>
          </w:p>
        </w:tc>
      </w:tr>
      <w:tr w:rsidR="003C680A" w:rsidTr="00C44085">
        <w:trPr>
          <w:trHeight w:val="833"/>
        </w:trPr>
        <w:tc>
          <w:tcPr>
            <w:tcW w:w="1809" w:type="dxa"/>
            <w:hideMark/>
          </w:tcPr>
          <w:p w:rsidR="003C680A" w:rsidRDefault="003C680A" w:rsidP="00313380">
            <w:pPr>
              <w:spacing w:after="0" w:line="360" w:lineRule="auto"/>
              <w:rPr>
                <w:rFonts w:asciiTheme="majorBidi" w:hAnsiTheme="majorBidi" w:cs="Times New Roman"/>
                <w:sz w:val="24"/>
                <w:szCs w:val="24"/>
              </w:rPr>
            </w:pPr>
            <w:r>
              <w:rPr>
                <w:rFonts w:asciiTheme="majorBidi" w:hAnsiTheme="majorBidi" w:cs="Times New Roman"/>
                <w:sz w:val="24"/>
                <w:szCs w:val="24"/>
              </w:rPr>
              <w:t>Tableau I.1</w:t>
            </w:r>
          </w:p>
        </w:tc>
        <w:tc>
          <w:tcPr>
            <w:tcW w:w="7655" w:type="dxa"/>
            <w:hideMark/>
          </w:tcPr>
          <w:p w:rsidR="003C680A" w:rsidRDefault="003C680A" w:rsidP="00313380">
            <w:pPr>
              <w:spacing w:after="0" w:line="360" w:lineRule="auto"/>
              <w:rPr>
                <w:rFonts w:ascii="Times New Roman" w:hAnsi="Times New Roman" w:cs="Times New Roman"/>
                <w:sz w:val="24"/>
                <w:szCs w:val="24"/>
              </w:rPr>
            </w:pPr>
            <w:r>
              <w:rPr>
                <w:rFonts w:ascii="Times New Roman" w:hAnsi="Times New Roman" w:cs="Times New Roman"/>
                <w:sz w:val="24"/>
                <w:szCs w:val="24"/>
              </w:rPr>
              <w:t>Les principales apolipoprotéines. Identité, expression tissulaire, distribution  plasmatique et fonction connues des principales lipoprotéines humaines</w:t>
            </w:r>
          </w:p>
        </w:tc>
        <w:tc>
          <w:tcPr>
            <w:tcW w:w="709" w:type="dxa"/>
          </w:tcPr>
          <w:p w:rsidR="003C680A" w:rsidRDefault="00532E6D" w:rsidP="00313380">
            <w:pPr>
              <w:spacing w:after="0" w:line="240" w:lineRule="auto"/>
              <w:rPr>
                <w:rFonts w:asciiTheme="majorBidi" w:hAnsiTheme="majorBidi" w:cs="Times New Roman"/>
                <w:sz w:val="24"/>
                <w:szCs w:val="24"/>
              </w:rPr>
            </w:pPr>
            <w:r>
              <w:rPr>
                <w:rFonts w:asciiTheme="majorBidi" w:hAnsiTheme="majorBidi" w:cs="Times New Roman"/>
                <w:sz w:val="24"/>
                <w:szCs w:val="24"/>
              </w:rPr>
              <w:t>16</w:t>
            </w:r>
          </w:p>
        </w:tc>
      </w:tr>
      <w:tr w:rsidR="003C680A" w:rsidTr="00C44085">
        <w:trPr>
          <w:trHeight w:val="419"/>
        </w:trPr>
        <w:tc>
          <w:tcPr>
            <w:tcW w:w="1809" w:type="dxa"/>
            <w:hideMark/>
          </w:tcPr>
          <w:p w:rsidR="003C680A" w:rsidRDefault="003C680A" w:rsidP="00313380">
            <w:pPr>
              <w:spacing w:after="0" w:line="360" w:lineRule="auto"/>
              <w:rPr>
                <w:rFonts w:asciiTheme="majorBidi" w:hAnsiTheme="majorBidi" w:cs="Times New Roman"/>
                <w:sz w:val="24"/>
                <w:szCs w:val="24"/>
              </w:rPr>
            </w:pPr>
            <w:r>
              <w:rPr>
                <w:rFonts w:asciiTheme="majorBidi" w:hAnsiTheme="majorBidi" w:cs="Times New Roman"/>
                <w:sz w:val="24"/>
                <w:szCs w:val="24"/>
              </w:rPr>
              <w:t>Tableau II.1</w:t>
            </w:r>
          </w:p>
        </w:tc>
        <w:tc>
          <w:tcPr>
            <w:tcW w:w="7655" w:type="dxa"/>
            <w:hideMark/>
          </w:tcPr>
          <w:p w:rsidR="003C680A" w:rsidRDefault="003C680A" w:rsidP="00313380">
            <w:pPr>
              <w:spacing w:after="0" w:line="360" w:lineRule="auto"/>
              <w:rPr>
                <w:rFonts w:ascii="Times New Roman" w:hAnsi="Times New Roman" w:cs="Times New Roman"/>
                <w:sz w:val="24"/>
                <w:szCs w:val="24"/>
              </w:rPr>
            </w:pPr>
            <w:r>
              <w:rPr>
                <w:rFonts w:asciiTheme="majorBidi" w:hAnsiTheme="majorBidi" w:cs="Times New Roman"/>
                <w:sz w:val="24"/>
                <w:szCs w:val="24"/>
              </w:rPr>
              <w:t>Catégories standard d’état de poids associés à l’BMI varie pour les adulte</w:t>
            </w:r>
          </w:p>
        </w:tc>
        <w:tc>
          <w:tcPr>
            <w:tcW w:w="709" w:type="dxa"/>
          </w:tcPr>
          <w:p w:rsidR="003C680A" w:rsidRDefault="00532E6D" w:rsidP="00313380">
            <w:pPr>
              <w:spacing w:after="0" w:line="240" w:lineRule="auto"/>
              <w:rPr>
                <w:rFonts w:asciiTheme="majorBidi" w:hAnsiTheme="majorBidi" w:cs="Times New Roman"/>
                <w:sz w:val="24"/>
                <w:szCs w:val="24"/>
              </w:rPr>
            </w:pPr>
            <w:r>
              <w:rPr>
                <w:rFonts w:asciiTheme="majorBidi" w:hAnsiTheme="majorBidi" w:cs="Times New Roman"/>
                <w:sz w:val="24"/>
                <w:szCs w:val="24"/>
              </w:rPr>
              <w:t>34</w:t>
            </w:r>
          </w:p>
        </w:tc>
      </w:tr>
      <w:tr w:rsidR="003C680A" w:rsidTr="00C44085">
        <w:trPr>
          <w:trHeight w:val="836"/>
        </w:trPr>
        <w:tc>
          <w:tcPr>
            <w:tcW w:w="1809" w:type="dxa"/>
          </w:tcPr>
          <w:p w:rsidR="003C680A" w:rsidRDefault="003C680A" w:rsidP="00313380">
            <w:pPr>
              <w:spacing w:after="0" w:line="360" w:lineRule="auto"/>
              <w:rPr>
                <w:rFonts w:asciiTheme="majorBidi" w:hAnsiTheme="majorBidi" w:cs="Times New Roman"/>
                <w:sz w:val="24"/>
                <w:szCs w:val="24"/>
              </w:rPr>
            </w:pPr>
            <w:r>
              <w:rPr>
                <w:rFonts w:asciiTheme="majorBidi" w:hAnsiTheme="majorBidi" w:cs="Times New Roman"/>
                <w:sz w:val="24"/>
                <w:szCs w:val="24"/>
              </w:rPr>
              <w:t>Tableau II.2</w:t>
            </w:r>
          </w:p>
          <w:p w:rsidR="003C680A" w:rsidRDefault="003C680A" w:rsidP="00313380">
            <w:pPr>
              <w:spacing w:after="0" w:line="360" w:lineRule="auto"/>
              <w:rPr>
                <w:rFonts w:asciiTheme="majorBidi" w:hAnsiTheme="majorBidi" w:cs="Times New Roman"/>
                <w:sz w:val="24"/>
                <w:szCs w:val="24"/>
              </w:rPr>
            </w:pPr>
          </w:p>
        </w:tc>
        <w:tc>
          <w:tcPr>
            <w:tcW w:w="7655" w:type="dxa"/>
            <w:hideMark/>
          </w:tcPr>
          <w:p w:rsidR="003C680A" w:rsidRDefault="003C680A" w:rsidP="00313380">
            <w:pPr>
              <w:spacing w:line="360" w:lineRule="auto"/>
              <w:jc w:val="both"/>
              <w:rPr>
                <w:rFonts w:asciiTheme="majorBidi" w:hAnsiTheme="majorBidi" w:cs="Times New Roman"/>
                <w:bCs/>
                <w:color w:val="000000" w:themeColor="text1"/>
                <w:sz w:val="24"/>
                <w:szCs w:val="24"/>
                <w:shd w:val="clear" w:color="auto" w:fill="FFFFFF"/>
              </w:rPr>
            </w:pPr>
            <w:r>
              <w:rPr>
                <w:rFonts w:asciiTheme="majorBidi" w:hAnsiTheme="majorBidi" w:cs="Times New Roman"/>
                <w:bCs/>
                <w:color w:val="000000" w:themeColor="text1"/>
                <w:sz w:val="24"/>
                <w:szCs w:val="24"/>
                <w:shd w:val="clear" w:color="auto" w:fill="FFFFFF"/>
              </w:rPr>
              <w:t>Classification des tensions artérielles chez les adultes conformément aux  directives internationales (données en mm Hg)</w:t>
            </w:r>
          </w:p>
        </w:tc>
        <w:tc>
          <w:tcPr>
            <w:tcW w:w="709" w:type="dxa"/>
          </w:tcPr>
          <w:p w:rsidR="003C680A" w:rsidRDefault="00532E6D" w:rsidP="00313380">
            <w:pPr>
              <w:spacing w:after="0" w:line="240" w:lineRule="auto"/>
              <w:rPr>
                <w:rFonts w:asciiTheme="majorBidi" w:hAnsiTheme="majorBidi" w:cs="Times New Roman"/>
                <w:sz w:val="24"/>
                <w:szCs w:val="24"/>
              </w:rPr>
            </w:pPr>
            <w:r>
              <w:rPr>
                <w:rFonts w:asciiTheme="majorBidi" w:hAnsiTheme="majorBidi" w:cs="Times New Roman"/>
                <w:sz w:val="24"/>
                <w:szCs w:val="24"/>
              </w:rPr>
              <w:t>35</w:t>
            </w:r>
          </w:p>
        </w:tc>
      </w:tr>
      <w:tr w:rsidR="003C680A" w:rsidTr="00C44085">
        <w:trPr>
          <w:trHeight w:val="410"/>
        </w:trPr>
        <w:tc>
          <w:tcPr>
            <w:tcW w:w="1809" w:type="dxa"/>
            <w:hideMark/>
          </w:tcPr>
          <w:p w:rsidR="003C680A" w:rsidRDefault="003C680A" w:rsidP="00313380">
            <w:pPr>
              <w:spacing w:after="0" w:line="360" w:lineRule="auto"/>
              <w:rPr>
                <w:rFonts w:asciiTheme="majorBidi" w:hAnsiTheme="majorBidi" w:cs="Times New Roman"/>
                <w:sz w:val="24"/>
                <w:szCs w:val="24"/>
              </w:rPr>
            </w:pPr>
            <w:r>
              <w:rPr>
                <w:rFonts w:asciiTheme="majorBidi" w:hAnsiTheme="majorBidi" w:cs="Times New Roman"/>
                <w:sz w:val="24"/>
                <w:szCs w:val="24"/>
              </w:rPr>
              <w:t>Tableau III.</w:t>
            </w:r>
            <w:r w:rsidR="00DB0FC3">
              <w:rPr>
                <w:rFonts w:asciiTheme="majorBidi" w:hAnsiTheme="majorBidi" w:cs="Times New Roman"/>
                <w:sz w:val="24"/>
                <w:szCs w:val="24"/>
              </w:rPr>
              <w:t>1</w:t>
            </w:r>
          </w:p>
        </w:tc>
        <w:tc>
          <w:tcPr>
            <w:tcW w:w="7655" w:type="dxa"/>
            <w:hideMark/>
          </w:tcPr>
          <w:p w:rsidR="003C680A" w:rsidRDefault="003C680A" w:rsidP="00313380">
            <w:pPr>
              <w:spacing w:after="0" w:line="360" w:lineRule="auto"/>
              <w:rPr>
                <w:rFonts w:asciiTheme="majorBidi" w:eastAsiaTheme="minorEastAsia" w:hAnsiTheme="majorBidi" w:cs="Times New Roman"/>
                <w:sz w:val="24"/>
                <w:szCs w:val="24"/>
                <w:lang w:eastAsia="fr-FR"/>
              </w:rPr>
            </w:pPr>
            <w:r>
              <w:rPr>
                <w:rFonts w:asciiTheme="majorBidi" w:eastAsiaTheme="minorEastAsia" w:hAnsiTheme="majorBidi" w:cs="Times New Roman"/>
                <w:sz w:val="24"/>
                <w:szCs w:val="24"/>
                <w:lang w:eastAsia="fr-FR"/>
              </w:rPr>
              <w:t>Répartition des malades et des témoins en fonction de l’IMC</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43</w:t>
            </w:r>
          </w:p>
        </w:tc>
      </w:tr>
      <w:tr w:rsidR="003C680A" w:rsidTr="00C44085">
        <w:trPr>
          <w:trHeight w:val="699"/>
        </w:trPr>
        <w:tc>
          <w:tcPr>
            <w:tcW w:w="1809" w:type="dxa"/>
            <w:hideMark/>
          </w:tcPr>
          <w:p w:rsidR="003C680A" w:rsidRDefault="003C680A" w:rsidP="00313380">
            <w:pPr>
              <w:spacing w:after="0" w:line="360" w:lineRule="auto"/>
              <w:rPr>
                <w:rFonts w:asciiTheme="majorBidi" w:hAnsiTheme="majorBidi" w:cs="Times New Roman"/>
                <w:sz w:val="24"/>
                <w:szCs w:val="24"/>
              </w:rPr>
            </w:pPr>
            <w:r>
              <w:rPr>
                <w:rFonts w:asciiTheme="majorBidi" w:hAnsiTheme="majorBidi" w:cs="Times New Roman"/>
                <w:sz w:val="24"/>
                <w:szCs w:val="24"/>
              </w:rPr>
              <w:t>Tableau III.</w:t>
            </w:r>
            <w:r w:rsidR="00DB0FC3">
              <w:rPr>
                <w:rFonts w:asciiTheme="majorBidi" w:hAnsiTheme="majorBidi" w:cs="Times New Roman"/>
                <w:sz w:val="24"/>
                <w:szCs w:val="24"/>
              </w:rPr>
              <w:t>2</w:t>
            </w:r>
          </w:p>
        </w:tc>
        <w:tc>
          <w:tcPr>
            <w:tcW w:w="7655" w:type="dxa"/>
            <w:hideMark/>
          </w:tcPr>
          <w:p w:rsidR="003C680A" w:rsidRDefault="003C680A" w:rsidP="00313380">
            <w:pPr>
              <w:tabs>
                <w:tab w:val="left" w:pos="2054"/>
              </w:tabs>
              <w:spacing w:after="0" w:line="360" w:lineRule="auto"/>
              <w:rPr>
                <w:rFonts w:asciiTheme="majorBidi" w:hAnsiTheme="majorBidi" w:cs="Times New Roman"/>
                <w:b/>
                <w:bCs/>
                <w:color w:val="000000" w:themeColor="text1"/>
                <w:sz w:val="24"/>
                <w:szCs w:val="24"/>
                <w:shd w:val="clear" w:color="auto" w:fill="FFFFFF"/>
              </w:rPr>
            </w:pPr>
            <w:r>
              <w:rPr>
                <w:rFonts w:asciiTheme="majorBidi" w:hAnsiTheme="majorBidi" w:cs="Times New Roman"/>
                <w:sz w:val="24"/>
                <w:szCs w:val="24"/>
                <w:shd w:val="clear" w:color="auto" w:fill="FFFFFF"/>
              </w:rPr>
              <w:t xml:space="preserve">Répartition des malades et des témoins  en fonction </w:t>
            </w:r>
            <w:r>
              <w:rPr>
                <w:rFonts w:asciiTheme="majorBidi" w:hAnsiTheme="majorBidi" w:cs="Times New Roman"/>
                <w:color w:val="000000" w:themeColor="text1"/>
                <w:sz w:val="24"/>
                <w:szCs w:val="24"/>
                <w:shd w:val="clear" w:color="auto" w:fill="FFFFFF"/>
              </w:rPr>
              <w:t>de la présence/absence du syndrome métabolique</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44</w:t>
            </w:r>
          </w:p>
        </w:tc>
      </w:tr>
      <w:tr w:rsidR="003C680A" w:rsidTr="00C44085">
        <w:trPr>
          <w:trHeight w:val="428"/>
        </w:trPr>
        <w:tc>
          <w:tcPr>
            <w:tcW w:w="1809" w:type="dxa"/>
            <w:hideMark/>
          </w:tcPr>
          <w:p w:rsidR="003C680A" w:rsidRDefault="003C680A" w:rsidP="00313380">
            <w:pPr>
              <w:spacing w:after="0" w:line="360" w:lineRule="auto"/>
              <w:rPr>
                <w:rFonts w:asciiTheme="majorBidi" w:hAnsiTheme="majorBidi" w:cs="Times New Roman"/>
                <w:sz w:val="24"/>
                <w:szCs w:val="24"/>
              </w:rPr>
            </w:pPr>
            <w:r>
              <w:rPr>
                <w:rFonts w:asciiTheme="majorBidi" w:hAnsiTheme="majorBidi" w:cs="Times New Roman"/>
                <w:sz w:val="24"/>
                <w:szCs w:val="24"/>
              </w:rPr>
              <w:t>Tableau III.</w:t>
            </w:r>
            <w:r w:rsidR="00DB0FC3">
              <w:rPr>
                <w:rFonts w:asciiTheme="majorBidi" w:hAnsiTheme="majorBidi" w:cs="Times New Roman"/>
                <w:sz w:val="24"/>
                <w:szCs w:val="24"/>
              </w:rPr>
              <w:t>3</w:t>
            </w:r>
          </w:p>
        </w:tc>
        <w:tc>
          <w:tcPr>
            <w:tcW w:w="7655" w:type="dxa"/>
            <w:hideMark/>
          </w:tcPr>
          <w:p w:rsidR="003C680A" w:rsidRDefault="003C680A" w:rsidP="00313380">
            <w:pPr>
              <w:spacing w:after="0" w:line="360" w:lineRule="auto"/>
              <w:rPr>
                <w:rFonts w:asciiTheme="majorBidi" w:hAnsiTheme="majorBidi" w:cs="Times New Roman"/>
                <w:sz w:val="24"/>
                <w:szCs w:val="24"/>
              </w:rPr>
            </w:pPr>
            <w:r>
              <w:rPr>
                <w:rFonts w:asciiTheme="majorBidi" w:hAnsiTheme="majorBidi" w:cs="Times New Roman"/>
                <w:sz w:val="24"/>
                <w:szCs w:val="24"/>
                <w:shd w:val="clear" w:color="auto" w:fill="FFFFFF"/>
              </w:rPr>
              <w:t>Répartition des malades et des témoins en fonction des taux</w:t>
            </w:r>
            <w:r>
              <w:rPr>
                <w:rFonts w:asciiTheme="majorBidi" w:hAnsiTheme="majorBidi" w:cs="Times New Roman"/>
                <w:color w:val="000000" w:themeColor="text1"/>
                <w:sz w:val="24"/>
                <w:szCs w:val="24"/>
                <w:shd w:val="clear" w:color="auto" w:fill="FFFFFF"/>
              </w:rPr>
              <w:t xml:space="preserve"> d’ASAT</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44</w:t>
            </w:r>
          </w:p>
        </w:tc>
      </w:tr>
      <w:tr w:rsidR="003C680A" w:rsidTr="00C44085">
        <w:trPr>
          <w:trHeight w:val="450"/>
        </w:trPr>
        <w:tc>
          <w:tcPr>
            <w:tcW w:w="1809" w:type="dxa"/>
            <w:hideMark/>
          </w:tcPr>
          <w:p w:rsidR="003C680A" w:rsidRDefault="003C680A" w:rsidP="00313380">
            <w:pPr>
              <w:spacing w:after="0" w:line="360" w:lineRule="auto"/>
              <w:rPr>
                <w:rFonts w:asciiTheme="majorBidi" w:hAnsiTheme="majorBidi" w:cs="Times New Roman"/>
                <w:sz w:val="24"/>
                <w:szCs w:val="24"/>
              </w:rPr>
            </w:pPr>
            <w:r>
              <w:rPr>
                <w:rFonts w:asciiTheme="majorBidi" w:hAnsiTheme="majorBidi" w:cs="Times New Roman"/>
                <w:sz w:val="24"/>
                <w:szCs w:val="24"/>
              </w:rPr>
              <w:t>Tableau III.</w:t>
            </w:r>
            <w:r w:rsidR="00DB0FC3">
              <w:rPr>
                <w:rFonts w:asciiTheme="majorBidi" w:hAnsiTheme="majorBidi" w:cs="Times New Roman"/>
                <w:sz w:val="24"/>
                <w:szCs w:val="24"/>
              </w:rPr>
              <w:t>4</w:t>
            </w:r>
          </w:p>
        </w:tc>
        <w:tc>
          <w:tcPr>
            <w:tcW w:w="7655" w:type="dxa"/>
            <w:hideMark/>
          </w:tcPr>
          <w:p w:rsidR="003C680A" w:rsidRDefault="003C680A" w:rsidP="00313380">
            <w:pPr>
              <w:spacing w:after="0" w:line="360" w:lineRule="auto"/>
              <w:rPr>
                <w:rFonts w:asciiTheme="majorBidi" w:hAnsiTheme="majorBidi" w:cs="Times New Roman"/>
                <w:sz w:val="24"/>
                <w:szCs w:val="24"/>
              </w:rPr>
            </w:pPr>
            <w:r>
              <w:rPr>
                <w:rFonts w:asciiTheme="majorBidi" w:hAnsiTheme="majorBidi" w:cs="Times New Roman"/>
                <w:sz w:val="24"/>
                <w:szCs w:val="24"/>
                <w:shd w:val="clear" w:color="auto" w:fill="FFFFFF"/>
              </w:rPr>
              <w:t>Répartition des malades et des témoins en fonction des</w:t>
            </w:r>
            <w:r>
              <w:rPr>
                <w:rFonts w:asciiTheme="majorBidi" w:hAnsiTheme="majorBidi" w:cs="Times New Roman"/>
                <w:color w:val="000000" w:themeColor="text1"/>
                <w:sz w:val="24"/>
                <w:szCs w:val="24"/>
                <w:shd w:val="clear" w:color="auto" w:fill="FFFFFF"/>
              </w:rPr>
              <w:t xml:space="preserve"> taux d’ALAT</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45</w:t>
            </w:r>
          </w:p>
        </w:tc>
      </w:tr>
      <w:tr w:rsidR="003C680A" w:rsidTr="00C44085">
        <w:trPr>
          <w:trHeight w:val="370"/>
        </w:trPr>
        <w:tc>
          <w:tcPr>
            <w:tcW w:w="1809" w:type="dxa"/>
            <w:hideMark/>
          </w:tcPr>
          <w:p w:rsidR="003C680A" w:rsidRDefault="003C680A" w:rsidP="00313380">
            <w:pPr>
              <w:spacing w:after="0" w:line="240" w:lineRule="auto"/>
              <w:rPr>
                <w:rFonts w:asciiTheme="majorBidi" w:hAnsiTheme="majorBidi" w:cs="Times New Roman"/>
                <w:sz w:val="24"/>
                <w:szCs w:val="24"/>
              </w:rPr>
            </w:pPr>
            <w:r>
              <w:rPr>
                <w:rFonts w:asciiTheme="majorBidi" w:hAnsiTheme="majorBidi" w:cs="Times New Roman"/>
                <w:sz w:val="24"/>
                <w:szCs w:val="24"/>
              </w:rPr>
              <w:t>Tableau III.</w:t>
            </w:r>
            <w:r w:rsidR="00DB0FC3">
              <w:rPr>
                <w:rFonts w:asciiTheme="majorBidi" w:hAnsiTheme="majorBidi" w:cs="Times New Roman"/>
                <w:sz w:val="24"/>
                <w:szCs w:val="24"/>
              </w:rPr>
              <w:t>5</w:t>
            </w:r>
          </w:p>
        </w:tc>
        <w:tc>
          <w:tcPr>
            <w:tcW w:w="7655" w:type="dxa"/>
          </w:tcPr>
          <w:p w:rsidR="003C680A" w:rsidRPr="00313380" w:rsidRDefault="003C680A" w:rsidP="00313380">
            <w:pPr>
              <w:spacing w:after="0" w:line="360" w:lineRule="auto"/>
              <w:rPr>
                <w:rFonts w:asciiTheme="majorBidi" w:eastAsiaTheme="minorEastAsia" w:hAnsiTheme="majorBidi" w:cs="Times New Roman"/>
                <w:sz w:val="24"/>
                <w:szCs w:val="24"/>
                <w:lang w:eastAsia="fr-FR"/>
              </w:rPr>
            </w:pPr>
            <w:r>
              <w:rPr>
                <w:rFonts w:asciiTheme="majorBidi" w:hAnsiTheme="majorBidi" w:cs="Times New Roman"/>
                <w:sz w:val="24"/>
                <w:szCs w:val="24"/>
                <w:shd w:val="clear" w:color="auto" w:fill="FFFFFF"/>
              </w:rPr>
              <w:t>Répartition des malades et des témoins en fonction des taux de bilirubine totale</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45</w:t>
            </w:r>
          </w:p>
        </w:tc>
      </w:tr>
      <w:tr w:rsidR="003C680A" w:rsidTr="00C44085">
        <w:trPr>
          <w:trHeight w:val="660"/>
        </w:trPr>
        <w:tc>
          <w:tcPr>
            <w:tcW w:w="1809" w:type="dxa"/>
            <w:hideMark/>
          </w:tcPr>
          <w:p w:rsidR="003C680A" w:rsidRDefault="003C680A" w:rsidP="00313380">
            <w:pPr>
              <w:spacing w:after="0" w:line="240" w:lineRule="auto"/>
              <w:rPr>
                <w:rFonts w:asciiTheme="majorBidi" w:hAnsiTheme="majorBidi" w:cs="Times New Roman"/>
                <w:sz w:val="24"/>
                <w:szCs w:val="24"/>
              </w:rPr>
            </w:pPr>
            <w:r>
              <w:rPr>
                <w:rFonts w:asciiTheme="majorBidi" w:hAnsiTheme="majorBidi" w:cs="Times New Roman"/>
                <w:sz w:val="24"/>
                <w:szCs w:val="24"/>
              </w:rPr>
              <w:t>Tableau III.</w:t>
            </w:r>
            <w:r w:rsidR="00DB0FC3">
              <w:rPr>
                <w:rFonts w:asciiTheme="majorBidi" w:hAnsiTheme="majorBidi" w:cs="Times New Roman"/>
                <w:sz w:val="24"/>
                <w:szCs w:val="24"/>
              </w:rPr>
              <w:t>6</w:t>
            </w:r>
          </w:p>
        </w:tc>
        <w:tc>
          <w:tcPr>
            <w:tcW w:w="7655" w:type="dxa"/>
          </w:tcPr>
          <w:p w:rsidR="003C680A" w:rsidRPr="00313380" w:rsidRDefault="003C680A" w:rsidP="00313380">
            <w:pPr>
              <w:spacing w:after="0" w:line="360" w:lineRule="auto"/>
              <w:rPr>
                <w:rFonts w:asciiTheme="majorBidi" w:hAnsiTheme="majorBidi" w:cs="Times New Roman"/>
                <w:sz w:val="24"/>
                <w:szCs w:val="24"/>
                <w:shd w:val="clear" w:color="auto" w:fill="FFFFFF"/>
              </w:rPr>
            </w:pPr>
            <w:r>
              <w:rPr>
                <w:rFonts w:asciiTheme="majorBidi" w:hAnsiTheme="majorBidi" w:cs="Times New Roman"/>
                <w:sz w:val="24"/>
                <w:szCs w:val="24"/>
                <w:shd w:val="clear" w:color="auto" w:fill="FFFFFF"/>
              </w:rPr>
              <w:t>Répartition des malades et des témoins en fonction</w:t>
            </w:r>
            <w:r w:rsidR="00313380">
              <w:rPr>
                <w:rFonts w:asciiTheme="majorBidi" w:hAnsiTheme="majorBidi" w:cs="Times New Roman"/>
                <w:sz w:val="24"/>
                <w:szCs w:val="24"/>
                <w:shd w:val="clear" w:color="auto" w:fill="FFFFFF"/>
              </w:rPr>
              <w:t xml:space="preserve"> des taux de bilirubine directe</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46</w:t>
            </w:r>
          </w:p>
        </w:tc>
      </w:tr>
      <w:tr w:rsidR="003C680A" w:rsidTr="00C44085">
        <w:trPr>
          <w:trHeight w:val="388"/>
        </w:trPr>
        <w:tc>
          <w:tcPr>
            <w:tcW w:w="1809" w:type="dxa"/>
            <w:hideMark/>
          </w:tcPr>
          <w:p w:rsidR="003C680A" w:rsidRDefault="003C680A" w:rsidP="00313380">
            <w:pPr>
              <w:spacing w:after="0" w:line="240" w:lineRule="auto"/>
              <w:rPr>
                <w:rFonts w:asciiTheme="majorBidi" w:hAnsiTheme="majorBidi" w:cs="Times New Roman"/>
                <w:sz w:val="24"/>
                <w:szCs w:val="24"/>
              </w:rPr>
            </w:pPr>
            <w:r>
              <w:rPr>
                <w:rFonts w:asciiTheme="majorBidi" w:hAnsiTheme="majorBidi" w:cs="Times New Roman"/>
                <w:sz w:val="24"/>
                <w:szCs w:val="24"/>
              </w:rPr>
              <w:t>Tableau III.</w:t>
            </w:r>
            <w:r w:rsidR="00DB0FC3">
              <w:rPr>
                <w:rFonts w:asciiTheme="majorBidi" w:hAnsiTheme="majorBidi" w:cs="Times New Roman"/>
                <w:sz w:val="24"/>
                <w:szCs w:val="24"/>
              </w:rPr>
              <w:t>7</w:t>
            </w:r>
          </w:p>
        </w:tc>
        <w:tc>
          <w:tcPr>
            <w:tcW w:w="7655" w:type="dxa"/>
          </w:tcPr>
          <w:p w:rsidR="003C680A" w:rsidRPr="00313380" w:rsidRDefault="003C680A" w:rsidP="00313380">
            <w:pPr>
              <w:spacing w:after="0" w:line="360" w:lineRule="auto"/>
              <w:rPr>
                <w:rFonts w:asciiTheme="majorBidi" w:hAnsiTheme="majorBidi" w:cs="Times New Roman"/>
                <w:sz w:val="24"/>
                <w:szCs w:val="24"/>
                <w:shd w:val="clear" w:color="auto" w:fill="FFFFFF"/>
              </w:rPr>
            </w:pPr>
            <w:r>
              <w:rPr>
                <w:rFonts w:asciiTheme="majorBidi" w:hAnsiTheme="majorBidi" w:cs="Times New Roman"/>
                <w:sz w:val="24"/>
                <w:szCs w:val="24"/>
                <w:shd w:val="clear" w:color="auto" w:fill="FFFFFF"/>
              </w:rPr>
              <w:t>Répartition des malades et des témoins en fonct</w:t>
            </w:r>
            <w:r w:rsidR="00313380">
              <w:rPr>
                <w:rFonts w:asciiTheme="majorBidi" w:hAnsiTheme="majorBidi" w:cs="Times New Roman"/>
                <w:sz w:val="24"/>
                <w:szCs w:val="24"/>
                <w:shd w:val="clear" w:color="auto" w:fill="FFFFFF"/>
              </w:rPr>
              <w:t>ion des taux de protéine totale</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46</w:t>
            </w:r>
          </w:p>
        </w:tc>
      </w:tr>
      <w:tr w:rsidR="003C680A" w:rsidTr="00C44085">
        <w:trPr>
          <w:trHeight w:val="394"/>
        </w:trPr>
        <w:tc>
          <w:tcPr>
            <w:tcW w:w="1809" w:type="dxa"/>
            <w:hideMark/>
          </w:tcPr>
          <w:p w:rsidR="003C680A" w:rsidRDefault="003C680A" w:rsidP="00313380">
            <w:pPr>
              <w:spacing w:after="0" w:line="240" w:lineRule="auto"/>
              <w:rPr>
                <w:rFonts w:asciiTheme="majorBidi" w:hAnsiTheme="majorBidi" w:cs="Times New Roman"/>
                <w:sz w:val="24"/>
                <w:szCs w:val="24"/>
              </w:rPr>
            </w:pPr>
            <w:r>
              <w:rPr>
                <w:rFonts w:asciiTheme="majorBidi" w:hAnsiTheme="majorBidi" w:cs="Times New Roman"/>
                <w:sz w:val="24"/>
                <w:szCs w:val="24"/>
              </w:rPr>
              <w:t>Tableau III.</w:t>
            </w:r>
            <w:r w:rsidR="00DB0FC3">
              <w:rPr>
                <w:rFonts w:asciiTheme="majorBidi" w:hAnsiTheme="majorBidi" w:cs="Times New Roman"/>
                <w:sz w:val="24"/>
                <w:szCs w:val="24"/>
              </w:rPr>
              <w:t>8</w:t>
            </w:r>
          </w:p>
        </w:tc>
        <w:tc>
          <w:tcPr>
            <w:tcW w:w="7655" w:type="dxa"/>
          </w:tcPr>
          <w:p w:rsidR="003C680A" w:rsidRPr="00313380" w:rsidRDefault="003C680A" w:rsidP="00313380">
            <w:pPr>
              <w:spacing w:after="0" w:line="360" w:lineRule="auto"/>
              <w:rPr>
                <w:rFonts w:asciiTheme="majorBidi" w:hAnsiTheme="majorBidi" w:cs="Times New Roman"/>
                <w:sz w:val="24"/>
                <w:szCs w:val="24"/>
                <w:shd w:val="clear" w:color="auto" w:fill="FFFFFF"/>
              </w:rPr>
            </w:pPr>
            <w:r>
              <w:rPr>
                <w:rFonts w:asciiTheme="majorBidi" w:hAnsiTheme="majorBidi" w:cs="Times New Roman"/>
                <w:sz w:val="24"/>
                <w:szCs w:val="24"/>
                <w:shd w:val="clear" w:color="auto" w:fill="FFFFFF"/>
              </w:rPr>
              <w:t>Répartition des malades et des témoins en fonction d’albumin</w:t>
            </w:r>
            <w:r w:rsidR="00313380">
              <w:rPr>
                <w:rFonts w:asciiTheme="majorBidi" w:hAnsiTheme="majorBidi" w:cs="Times New Roman"/>
                <w:sz w:val="24"/>
                <w:szCs w:val="24"/>
                <w:shd w:val="clear" w:color="auto" w:fill="FFFFFF"/>
              </w:rPr>
              <w:t xml:space="preserve">e </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47</w:t>
            </w:r>
          </w:p>
        </w:tc>
      </w:tr>
      <w:tr w:rsidR="003C680A" w:rsidTr="00C44085">
        <w:trPr>
          <w:trHeight w:val="386"/>
        </w:trPr>
        <w:tc>
          <w:tcPr>
            <w:tcW w:w="1809" w:type="dxa"/>
            <w:hideMark/>
          </w:tcPr>
          <w:p w:rsidR="003C680A" w:rsidRDefault="00DB0FC3" w:rsidP="00313380">
            <w:pPr>
              <w:spacing w:after="0" w:line="240" w:lineRule="auto"/>
              <w:rPr>
                <w:rFonts w:asciiTheme="majorBidi" w:hAnsiTheme="majorBidi" w:cs="Times New Roman"/>
                <w:sz w:val="24"/>
                <w:szCs w:val="24"/>
              </w:rPr>
            </w:pPr>
            <w:r>
              <w:rPr>
                <w:rFonts w:asciiTheme="majorBidi" w:hAnsiTheme="majorBidi" w:cs="Times New Roman"/>
                <w:sz w:val="24"/>
                <w:szCs w:val="24"/>
              </w:rPr>
              <w:t>Tableau III.9</w:t>
            </w:r>
          </w:p>
        </w:tc>
        <w:tc>
          <w:tcPr>
            <w:tcW w:w="7655" w:type="dxa"/>
          </w:tcPr>
          <w:p w:rsidR="003C680A" w:rsidRPr="00313380" w:rsidRDefault="003C680A" w:rsidP="00313380">
            <w:pPr>
              <w:spacing w:after="0" w:line="360" w:lineRule="auto"/>
              <w:rPr>
                <w:rFonts w:asciiTheme="majorBidi" w:eastAsiaTheme="minorEastAsia" w:hAnsiTheme="majorBidi" w:cs="Times New Roman"/>
                <w:sz w:val="24"/>
                <w:szCs w:val="24"/>
                <w:lang w:eastAsia="fr-FR"/>
              </w:rPr>
            </w:pPr>
            <w:r>
              <w:rPr>
                <w:rFonts w:asciiTheme="majorBidi" w:hAnsiTheme="majorBidi" w:cs="Times New Roman"/>
                <w:sz w:val="24"/>
                <w:szCs w:val="24"/>
                <w:shd w:val="clear" w:color="auto" w:fill="FFFFFF"/>
              </w:rPr>
              <w:t>Répartition des malades et des témoins en fonction des taux de cholestérol</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47</w:t>
            </w:r>
          </w:p>
        </w:tc>
      </w:tr>
      <w:tr w:rsidR="003C680A" w:rsidTr="00C44085">
        <w:trPr>
          <w:trHeight w:val="392"/>
        </w:trPr>
        <w:tc>
          <w:tcPr>
            <w:tcW w:w="1809" w:type="dxa"/>
            <w:hideMark/>
          </w:tcPr>
          <w:p w:rsidR="003C680A" w:rsidRDefault="003C680A" w:rsidP="00313380">
            <w:pPr>
              <w:spacing w:after="0" w:line="240" w:lineRule="auto"/>
              <w:rPr>
                <w:rFonts w:asciiTheme="majorBidi" w:hAnsiTheme="majorBidi" w:cs="Times New Roman"/>
                <w:sz w:val="24"/>
                <w:szCs w:val="24"/>
              </w:rPr>
            </w:pPr>
            <w:r>
              <w:rPr>
                <w:rFonts w:asciiTheme="majorBidi" w:hAnsiTheme="majorBidi" w:cs="Times New Roman"/>
                <w:sz w:val="24"/>
                <w:szCs w:val="24"/>
              </w:rPr>
              <w:t>Tableau III.1</w:t>
            </w:r>
            <w:r w:rsidR="00DB0FC3">
              <w:rPr>
                <w:rFonts w:asciiTheme="majorBidi" w:hAnsiTheme="majorBidi" w:cs="Times New Roman"/>
                <w:sz w:val="24"/>
                <w:szCs w:val="24"/>
              </w:rPr>
              <w:t>0</w:t>
            </w:r>
          </w:p>
        </w:tc>
        <w:tc>
          <w:tcPr>
            <w:tcW w:w="7655" w:type="dxa"/>
          </w:tcPr>
          <w:p w:rsidR="003C680A" w:rsidRPr="00313380" w:rsidRDefault="00313380" w:rsidP="00313380">
            <w:pPr>
              <w:spacing w:after="0" w:line="360" w:lineRule="auto"/>
              <w:rPr>
                <w:rFonts w:asciiTheme="majorBidi" w:hAnsiTheme="majorBidi" w:cs="Times New Roman"/>
                <w:sz w:val="24"/>
                <w:szCs w:val="24"/>
                <w:shd w:val="clear" w:color="auto" w:fill="FFFFFF"/>
              </w:rPr>
            </w:pPr>
            <w:r>
              <w:rPr>
                <w:rFonts w:asciiTheme="majorBidi" w:hAnsiTheme="majorBidi" w:cs="Times New Roman"/>
                <w:sz w:val="24"/>
                <w:szCs w:val="24"/>
                <w:shd w:val="clear" w:color="auto" w:fill="FFFFFF"/>
              </w:rPr>
              <w:t>Répartition des malades et des témoins en fonction des taux d’LDL</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48</w:t>
            </w:r>
          </w:p>
        </w:tc>
      </w:tr>
      <w:tr w:rsidR="003C680A" w:rsidTr="00C44085">
        <w:trPr>
          <w:trHeight w:val="424"/>
        </w:trPr>
        <w:tc>
          <w:tcPr>
            <w:tcW w:w="1809" w:type="dxa"/>
            <w:hideMark/>
          </w:tcPr>
          <w:p w:rsidR="003C680A" w:rsidRDefault="003C680A" w:rsidP="00313380">
            <w:pPr>
              <w:spacing w:after="0" w:line="240" w:lineRule="auto"/>
              <w:rPr>
                <w:rFonts w:asciiTheme="majorBidi" w:hAnsiTheme="majorBidi" w:cs="Times New Roman"/>
                <w:sz w:val="24"/>
                <w:szCs w:val="24"/>
              </w:rPr>
            </w:pPr>
            <w:r>
              <w:rPr>
                <w:rFonts w:asciiTheme="majorBidi" w:hAnsiTheme="majorBidi" w:cs="Times New Roman"/>
                <w:sz w:val="24"/>
                <w:szCs w:val="24"/>
              </w:rPr>
              <w:t>Tableau III.1</w:t>
            </w:r>
            <w:r w:rsidR="00DB0FC3">
              <w:rPr>
                <w:rFonts w:asciiTheme="majorBidi" w:hAnsiTheme="majorBidi" w:cs="Times New Roman"/>
                <w:sz w:val="24"/>
                <w:szCs w:val="24"/>
              </w:rPr>
              <w:t>1</w:t>
            </w:r>
          </w:p>
        </w:tc>
        <w:tc>
          <w:tcPr>
            <w:tcW w:w="7655" w:type="dxa"/>
            <w:hideMark/>
          </w:tcPr>
          <w:p w:rsidR="003C680A" w:rsidRDefault="003C680A" w:rsidP="00313380">
            <w:pPr>
              <w:spacing w:after="0" w:line="240" w:lineRule="auto"/>
              <w:rPr>
                <w:rFonts w:asciiTheme="majorBidi" w:hAnsiTheme="majorBidi" w:cs="Times New Roman"/>
                <w:sz w:val="24"/>
                <w:szCs w:val="24"/>
              </w:rPr>
            </w:pPr>
            <w:r>
              <w:rPr>
                <w:rFonts w:asciiTheme="majorBidi" w:hAnsiTheme="majorBidi" w:cs="Times New Roman"/>
                <w:sz w:val="24"/>
                <w:szCs w:val="24"/>
                <w:shd w:val="clear" w:color="auto" w:fill="FFFFFF"/>
              </w:rPr>
              <w:t>Répartition des malades et des témoins en fonction des taux d’HDL</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48</w:t>
            </w:r>
          </w:p>
        </w:tc>
      </w:tr>
      <w:tr w:rsidR="003C680A" w:rsidTr="00C44085">
        <w:trPr>
          <w:trHeight w:val="416"/>
        </w:trPr>
        <w:tc>
          <w:tcPr>
            <w:tcW w:w="1809" w:type="dxa"/>
            <w:hideMark/>
          </w:tcPr>
          <w:p w:rsidR="003C680A" w:rsidRDefault="003C680A" w:rsidP="00313380">
            <w:pPr>
              <w:spacing w:after="0" w:line="240" w:lineRule="auto"/>
              <w:rPr>
                <w:rFonts w:asciiTheme="majorBidi" w:hAnsiTheme="majorBidi" w:cs="Times New Roman"/>
                <w:sz w:val="24"/>
                <w:szCs w:val="24"/>
              </w:rPr>
            </w:pPr>
            <w:r>
              <w:rPr>
                <w:rFonts w:asciiTheme="majorBidi" w:hAnsiTheme="majorBidi" w:cs="Times New Roman"/>
                <w:sz w:val="24"/>
                <w:szCs w:val="24"/>
              </w:rPr>
              <w:t>Tableau III.1</w:t>
            </w:r>
            <w:r w:rsidR="00DB0FC3">
              <w:rPr>
                <w:rFonts w:asciiTheme="majorBidi" w:hAnsiTheme="majorBidi" w:cs="Times New Roman"/>
                <w:sz w:val="24"/>
                <w:szCs w:val="24"/>
              </w:rPr>
              <w:t>2</w:t>
            </w:r>
          </w:p>
        </w:tc>
        <w:tc>
          <w:tcPr>
            <w:tcW w:w="7655" w:type="dxa"/>
            <w:hideMark/>
          </w:tcPr>
          <w:p w:rsidR="003C680A" w:rsidRDefault="00313380" w:rsidP="00313380">
            <w:pPr>
              <w:spacing w:after="0" w:line="240" w:lineRule="auto"/>
              <w:rPr>
                <w:rFonts w:asciiTheme="majorBidi" w:hAnsiTheme="majorBidi" w:cs="Times New Roman"/>
                <w:sz w:val="24"/>
                <w:szCs w:val="24"/>
              </w:rPr>
            </w:pPr>
            <w:r>
              <w:rPr>
                <w:rFonts w:asciiTheme="majorBidi" w:hAnsiTheme="majorBidi" w:cs="Times New Roman"/>
                <w:sz w:val="24"/>
                <w:szCs w:val="24"/>
                <w:shd w:val="clear" w:color="auto" w:fill="FFFFFF"/>
              </w:rPr>
              <w:t>Répartition des malades et des témoins en fonction des taux de triglycéride</w:t>
            </w:r>
          </w:p>
        </w:tc>
        <w:tc>
          <w:tcPr>
            <w:tcW w:w="709" w:type="dxa"/>
          </w:tcPr>
          <w:p w:rsidR="003C680A" w:rsidRDefault="00D200EC" w:rsidP="00313380">
            <w:pPr>
              <w:spacing w:after="0" w:line="240" w:lineRule="auto"/>
              <w:rPr>
                <w:rFonts w:asciiTheme="majorBidi" w:hAnsiTheme="majorBidi" w:cs="Times New Roman"/>
                <w:sz w:val="24"/>
                <w:szCs w:val="24"/>
              </w:rPr>
            </w:pPr>
            <w:r>
              <w:rPr>
                <w:rFonts w:asciiTheme="majorBidi" w:hAnsiTheme="majorBidi" w:cs="Times New Roman"/>
                <w:sz w:val="24"/>
                <w:szCs w:val="24"/>
              </w:rPr>
              <w:t>49</w:t>
            </w:r>
          </w:p>
        </w:tc>
      </w:tr>
    </w:tbl>
    <w:p w:rsidR="00BF5DC7" w:rsidRPr="00AD3B72" w:rsidRDefault="00BF5DC7" w:rsidP="00AD3B72">
      <w:pPr>
        <w:rPr>
          <w:rFonts w:asciiTheme="majorBidi" w:eastAsiaTheme="minorEastAsia" w:hAnsiTheme="majorBidi" w:cs="Times New Roman"/>
          <w:b/>
          <w:bCs/>
          <w:i/>
          <w:iCs/>
          <w:sz w:val="48"/>
          <w:szCs w:val="48"/>
          <w:lang w:eastAsia="fr-FR"/>
        </w:rPr>
        <w:sectPr w:rsidR="00BF5DC7" w:rsidRPr="00AD3B72" w:rsidSect="00034C57">
          <w:headerReference w:type="default" r:id="rId15"/>
          <w:pgSz w:w="11906" w:h="16838"/>
          <w:pgMar w:top="1134" w:right="1134" w:bottom="1134" w:left="1418" w:header="397" w:footer="680" w:gutter="0"/>
          <w:cols w:space="708"/>
          <w:docGrid w:linePitch="360"/>
        </w:sectPr>
      </w:pPr>
    </w:p>
    <w:p w:rsidR="00F27246" w:rsidRDefault="00F27246" w:rsidP="001D4718">
      <w:pPr>
        <w:rPr>
          <w:rFonts w:ascii="Century Schoolbook" w:hAnsi="Century Schoolbook"/>
        </w:rPr>
        <w:sectPr w:rsidR="00F27246" w:rsidSect="00034C57">
          <w:pgSz w:w="11906" w:h="16838"/>
          <w:pgMar w:top="1134" w:right="1134" w:bottom="1134" w:left="1418" w:header="397" w:footer="680" w:gutter="0"/>
          <w:cols w:space="708"/>
          <w:docGrid w:linePitch="360"/>
        </w:sectPr>
      </w:pPr>
    </w:p>
    <w:p w:rsidR="00F27246" w:rsidRDefault="00F27246" w:rsidP="00F27246">
      <w:pPr>
        <w:jc w:val="center"/>
        <w:rPr>
          <w:rFonts w:asciiTheme="majorBidi" w:hAnsiTheme="majorBidi" w:cstheme="majorBidi"/>
          <w:i/>
          <w:iCs/>
          <w:sz w:val="72"/>
          <w:szCs w:val="72"/>
        </w:rPr>
      </w:pPr>
    </w:p>
    <w:p w:rsidR="00F27246" w:rsidRDefault="00F27246" w:rsidP="00F27246">
      <w:pPr>
        <w:jc w:val="center"/>
        <w:rPr>
          <w:rFonts w:asciiTheme="majorBidi" w:hAnsiTheme="majorBidi" w:cstheme="majorBidi"/>
          <w:i/>
          <w:iCs/>
          <w:sz w:val="72"/>
          <w:szCs w:val="72"/>
        </w:rPr>
      </w:pPr>
    </w:p>
    <w:p w:rsidR="00F27246" w:rsidRDefault="00F27246" w:rsidP="00F27246">
      <w:pPr>
        <w:jc w:val="center"/>
        <w:rPr>
          <w:rFonts w:asciiTheme="majorBidi" w:hAnsiTheme="majorBidi" w:cstheme="majorBidi"/>
          <w:i/>
          <w:iCs/>
          <w:sz w:val="72"/>
          <w:szCs w:val="72"/>
        </w:rPr>
      </w:pPr>
    </w:p>
    <w:p w:rsidR="00F27246" w:rsidRDefault="00F27246" w:rsidP="00F27246">
      <w:pPr>
        <w:jc w:val="center"/>
        <w:rPr>
          <w:rFonts w:asciiTheme="majorBidi" w:hAnsiTheme="majorBidi" w:cstheme="majorBidi"/>
          <w:i/>
          <w:iCs/>
          <w:sz w:val="72"/>
          <w:szCs w:val="72"/>
        </w:rPr>
      </w:pPr>
    </w:p>
    <w:p w:rsidR="00F27246" w:rsidRDefault="00F27246" w:rsidP="00F27246">
      <w:pPr>
        <w:jc w:val="center"/>
        <w:rPr>
          <w:rFonts w:asciiTheme="majorBidi" w:hAnsiTheme="majorBidi" w:cstheme="majorBidi"/>
          <w:i/>
          <w:iCs/>
          <w:sz w:val="72"/>
          <w:szCs w:val="72"/>
        </w:rPr>
      </w:pPr>
    </w:p>
    <w:p w:rsidR="00C50859" w:rsidRPr="008E2539" w:rsidRDefault="00F27246" w:rsidP="00F27246">
      <w:pPr>
        <w:jc w:val="center"/>
        <w:rPr>
          <w:rFonts w:asciiTheme="majorBidi" w:hAnsiTheme="majorBidi" w:cstheme="majorBidi"/>
          <w:b/>
          <w:bCs/>
          <w:i/>
          <w:iCs/>
          <w:color w:val="7030A0"/>
          <w:sz w:val="72"/>
          <w:szCs w:val="72"/>
        </w:rPr>
        <w:sectPr w:rsidR="00C50859" w:rsidRPr="008E2539" w:rsidSect="00034C57">
          <w:pgSz w:w="11906" w:h="16838"/>
          <w:pgMar w:top="1134" w:right="1134" w:bottom="1134" w:left="1418" w:header="397" w:footer="680" w:gutter="0"/>
          <w:cols w:space="708"/>
          <w:docGrid w:linePitch="360"/>
        </w:sectPr>
      </w:pPr>
      <w:r w:rsidRPr="008E2539">
        <w:rPr>
          <w:rFonts w:asciiTheme="majorBidi" w:hAnsiTheme="majorBidi" w:cstheme="majorBidi"/>
          <w:b/>
          <w:bCs/>
          <w:i/>
          <w:iCs/>
          <w:color w:val="7030A0"/>
          <w:sz w:val="72"/>
          <w:szCs w:val="72"/>
        </w:rPr>
        <w:t>Introduction</w:t>
      </w:r>
    </w:p>
    <w:p w:rsidR="00CD3351" w:rsidRPr="00AD3B72" w:rsidRDefault="00CD3351" w:rsidP="008E2539">
      <w:pPr>
        <w:jc w:val="center"/>
        <w:rPr>
          <w:rFonts w:asciiTheme="majorBidi" w:hAnsiTheme="majorBidi" w:cs="Times New Roman"/>
          <w:b/>
          <w:bCs/>
          <w:i/>
          <w:iCs/>
          <w:color w:val="7030A0"/>
          <w:sz w:val="40"/>
          <w:szCs w:val="40"/>
        </w:rPr>
      </w:pPr>
      <w:r w:rsidRPr="00AD3B72">
        <w:rPr>
          <w:rFonts w:asciiTheme="majorBidi" w:hAnsiTheme="majorBidi" w:cs="Times New Roman"/>
          <w:b/>
          <w:bCs/>
          <w:i/>
          <w:iCs/>
          <w:color w:val="7030A0"/>
          <w:sz w:val="40"/>
          <w:szCs w:val="40"/>
        </w:rPr>
        <w:lastRenderedPageBreak/>
        <w:t>Introduction</w:t>
      </w:r>
    </w:p>
    <w:p w:rsidR="0002016D" w:rsidRDefault="0002016D" w:rsidP="001D4718">
      <w:pPr>
        <w:spacing w:line="360" w:lineRule="auto"/>
        <w:ind w:firstLine="708"/>
        <w:jc w:val="both"/>
        <w:rPr>
          <w:rFonts w:asciiTheme="majorBidi" w:hAnsiTheme="majorBidi" w:cs="Times New Roman"/>
          <w:sz w:val="24"/>
          <w:szCs w:val="24"/>
        </w:rPr>
      </w:pPr>
      <w:r>
        <w:rPr>
          <w:rFonts w:asciiTheme="majorBidi" w:hAnsiTheme="majorBidi" w:cs="Times New Roman"/>
          <w:sz w:val="24"/>
          <w:szCs w:val="24"/>
        </w:rPr>
        <w:t>Parmi les organes qui ont une grande importance dans le fonctionnement du corps humain, on trouve le foie qui joue un rôle central et multiple dans de nombreux processus physiologiques. Le foie a de nombreuses fonctions vitales endocrines et exocrines.  Plusieurs maladies peuvent toucher cet organe les plus irrésolues sont les hépatites.</w:t>
      </w:r>
    </w:p>
    <w:p w:rsidR="0002016D" w:rsidRDefault="0002016D" w:rsidP="0002016D">
      <w:pPr>
        <w:spacing w:line="360" w:lineRule="auto"/>
        <w:jc w:val="both"/>
        <w:rPr>
          <w:rFonts w:asciiTheme="majorBidi" w:hAnsiTheme="majorBidi" w:cs="Times New Roman"/>
          <w:sz w:val="24"/>
          <w:szCs w:val="24"/>
        </w:rPr>
      </w:pPr>
      <w:r>
        <w:rPr>
          <w:rFonts w:asciiTheme="majorBidi" w:hAnsiTheme="majorBidi" w:cs="Times New Roman"/>
          <w:sz w:val="24"/>
          <w:szCs w:val="24"/>
        </w:rPr>
        <w:tab/>
        <w:t>Le terme hépatite signifie inflammation du foie; cette affection peut avoir de nombreuses causes. Une de ces causes, le virus de l'hépatite C, communément appelé VHC, est un virus qui s'attaque au foie et peut entraîner de l’inflammation et la formation de tissu cicatriciel. La phase initiale de l'hépatite C est appelée hépatite C aiguë. Si le virus persiste dans l'organisme plus de six mois, la maladie entre alors dans une phase appelée hépatite C chronique.</w:t>
      </w:r>
    </w:p>
    <w:p w:rsidR="0002016D" w:rsidRDefault="0002016D" w:rsidP="0002016D">
      <w:pPr>
        <w:spacing w:line="360" w:lineRule="auto"/>
        <w:ind w:firstLine="851"/>
        <w:jc w:val="both"/>
        <w:rPr>
          <w:rFonts w:asciiTheme="majorBidi" w:hAnsiTheme="majorBidi" w:cs="Times New Roman"/>
          <w:color w:val="000000"/>
          <w:sz w:val="24"/>
          <w:szCs w:val="24"/>
        </w:rPr>
      </w:pPr>
      <w:r>
        <w:rPr>
          <w:rFonts w:asciiTheme="majorBidi" w:hAnsiTheme="majorBidi" w:cs="Times New Roman"/>
          <w:sz w:val="24"/>
          <w:szCs w:val="24"/>
        </w:rPr>
        <w:t>Le virus de l’hépatite C (VHC) représente le premier virus de l’histoire de la virologie moderne a avoir été identifié par les techniques de biologie moléculaire en 1989 comme étant l’agent responsable des hépatites dites « non A-non B »</w:t>
      </w:r>
      <w:r w:rsidR="001D4718">
        <w:rPr>
          <w:rFonts w:asciiTheme="majorBidi" w:hAnsiTheme="majorBidi" w:cs="Times New Roman"/>
          <w:sz w:val="24"/>
          <w:szCs w:val="24"/>
        </w:rPr>
        <w:t xml:space="preserve"> </w:t>
      </w:r>
      <w:r>
        <w:rPr>
          <w:rFonts w:asciiTheme="majorBidi" w:hAnsiTheme="majorBidi" w:cs="Times New Roman"/>
          <w:b/>
          <w:bCs/>
          <w:sz w:val="24"/>
          <w:szCs w:val="24"/>
        </w:rPr>
        <w:t xml:space="preserve">(Choo et al. 1989). </w:t>
      </w:r>
      <w:r>
        <w:rPr>
          <w:rFonts w:asciiTheme="majorBidi" w:hAnsiTheme="majorBidi" w:cs="Times New Roman"/>
          <w:sz w:val="24"/>
          <w:szCs w:val="24"/>
        </w:rPr>
        <w:t>Il présente u</w:t>
      </w:r>
      <w:r w:rsidR="00B87FFD">
        <w:rPr>
          <w:rFonts w:asciiTheme="majorBidi" w:hAnsiTheme="majorBidi" w:cs="Times New Roman"/>
          <w:sz w:val="24"/>
          <w:szCs w:val="24"/>
        </w:rPr>
        <w:t xml:space="preserve">ne grande variabilité génétique </w:t>
      </w:r>
      <w:r>
        <w:rPr>
          <w:rFonts w:asciiTheme="majorBidi" w:hAnsiTheme="majorBidi" w:cs="Times New Roman"/>
          <w:sz w:val="24"/>
          <w:szCs w:val="24"/>
        </w:rPr>
        <w:t xml:space="preserve">: six génotypes différents ont été identifiés. Cette variabilité génétique est en partie responsable de la persistance virale et donc de la chronicité de la maladie, et d'un échappement immunologique, thérapeutique et vaccinal du virus. </w:t>
      </w:r>
      <w:r>
        <w:rPr>
          <w:rFonts w:asciiTheme="majorBidi" w:hAnsiTheme="majorBidi" w:cs="Times New Roman"/>
          <w:color w:val="000000"/>
          <w:sz w:val="24"/>
          <w:szCs w:val="24"/>
        </w:rPr>
        <w:t>Il est transmis essentiellement par voie parentérale principalement via la transfusion de produits sanguins, et l’utilisation de drogues par voie intraveineuse. Il est actuellement transmissible aux personnes de tout âge, sexes et races dans toutes les régions du monde. </w:t>
      </w:r>
    </w:p>
    <w:p w:rsidR="0002016D" w:rsidRDefault="0002016D" w:rsidP="0002016D">
      <w:pPr>
        <w:spacing w:line="360" w:lineRule="auto"/>
        <w:ind w:firstLine="851"/>
        <w:jc w:val="both"/>
        <w:rPr>
          <w:rFonts w:asciiTheme="majorBidi" w:hAnsiTheme="majorBidi" w:cs="Times New Roman"/>
          <w:sz w:val="24"/>
          <w:szCs w:val="24"/>
        </w:rPr>
      </w:pPr>
      <w:r>
        <w:rPr>
          <w:rFonts w:asciiTheme="majorBidi" w:hAnsiTheme="majorBidi" w:cs="Times New Roman"/>
          <w:color w:val="000000"/>
          <w:sz w:val="24"/>
          <w:szCs w:val="24"/>
        </w:rPr>
        <w:t>L’hépatite C</w:t>
      </w:r>
      <w:r>
        <w:rPr>
          <w:rFonts w:asciiTheme="majorBidi" w:hAnsiTheme="majorBidi" w:cs="Times New Roman"/>
          <w:sz w:val="24"/>
          <w:szCs w:val="24"/>
        </w:rPr>
        <w:t xml:space="preserve"> est un problème médical mondial commun. D'après une estimation de l’OMS, 3 % de la population mondiale a une infection chronique par le virus de l’hépatite C (VHC). L’infection au VHC est caractérisée par un risque élevé de passage à la chronicité </w:t>
      </w:r>
      <w:r>
        <w:rPr>
          <w:rFonts w:asciiTheme="majorBidi" w:hAnsiTheme="majorBidi" w:cs="Times New Roman"/>
          <w:color w:val="000000"/>
          <w:sz w:val="24"/>
          <w:szCs w:val="24"/>
        </w:rPr>
        <w:t>(</w:t>
      </w:r>
      <w:r>
        <w:rPr>
          <w:rFonts w:asciiTheme="majorBidi" w:hAnsiTheme="majorBidi" w:cs="Times New Roman"/>
          <w:sz w:val="24"/>
          <w:szCs w:val="24"/>
        </w:rPr>
        <w:t>55-80% de cas) et la multiplication virale persiste tout au long de l’évolution de la maladie. L’hépatite chronique C est une cause majeure de cirrhose et de cancer primitif du foie (carcinome hépatocellulaire)</w:t>
      </w:r>
      <w:r>
        <w:rPr>
          <w:rFonts w:asciiTheme="majorBidi" w:hAnsiTheme="majorBidi" w:cs="Times New Roman"/>
          <w:color w:val="000000"/>
          <w:sz w:val="24"/>
          <w:szCs w:val="24"/>
        </w:rPr>
        <w:t xml:space="preserve"> pour </w:t>
      </w:r>
      <w:r>
        <w:rPr>
          <w:rFonts w:asciiTheme="majorBidi" w:hAnsiTheme="majorBidi" w:cs="Times New Roman"/>
          <w:sz w:val="24"/>
          <w:szCs w:val="24"/>
        </w:rPr>
        <w:t>25% des cas.</w:t>
      </w:r>
    </w:p>
    <w:p w:rsidR="0002016D" w:rsidRDefault="0002016D" w:rsidP="0002016D">
      <w:pPr>
        <w:spacing w:line="360" w:lineRule="auto"/>
        <w:ind w:firstLine="851"/>
        <w:jc w:val="both"/>
        <w:rPr>
          <w:rFonts w:asciiTheme="majorBidi" w:hAnsiTheme="majorBidi" w:cs="Times New Roman"/>
          <w:sz w:val="24"/>
          <w:szCs w:val="24"/>
        </w:rPr>
      </w:pPr>
      <w:r>
        <w:rPr>
          <w:rFonts w:asciiTheme="majorBidi" w:hAnsiTheme="majorBidi" w:cs="Times New Roman"/>
          <w:sz w:val="24"/>
          <w:szCs w:val="24"/>
        </w:rPr>
        <w:t>L'infection par le VHC peut aussi développer plusieurs manifestations extra-hépatiques. Le diagnostic de l’hépatite C commence par des tests sérologiques, des tests sanguins permettant de détecter les anticorps anti-VHC. Le suivi de l’hépatite chronique nécessite la réalisation de bilans hépatiques successifs qui permettent d’apprécier le retentissement du virus sur le fonctionnement du foie et, en cas d’anomalie, d’une ponction biopsie hépatique (PBH). Cette dernière permet d’évaluer l’importance des lésions.</w:t>
      </w:r>
    </w:p>
    <w:p w:rsidR="0002016D" w:rsidRPr="0039729C" w:rsidRDefault="0002016D" w:rsidP="0039729C">
      <w:pPr>
        <w:spacing w:line="360" w:lineRule="auto"/>
        <w:ind w:firstLine="851"/>
        <w:jc w:val="both"/>
        <w:rPr>
          <w:rFonts w:asciiTheme="majorBidi" w:hAnsiTheme="majorBidi" w:cs="Times New Roman"/>
          <w:sz w:val="24"/>
          <w:szCs w:val="24"/>
        </w:rPr>
      </w:pPr>
      <w:r>
        <w:rPr>
          <w:rFonts w:asciiTheme="majorBidi" w:hAnsiTheme="majorBidi" w:cs="Times New Roman"/>
          <w:sz w:val="24"/>
          <w:szCs w:val="24"/>
        </w:rPr>
        <w:t xml:space="preserve">Plusieurs études ont ensuite suggéré l’existence d’une interaction directe entre le VHC et le métabolisme lipidique suscitant un intérêt croissant pour les liens pouvant exister entre </w:t>
      </w:r>
      <w:r>
        <w:rPr>
          <w:rFonts w:asciiTheme="majorBidi" w:hAnsiTheme="majorBidi" w:cs="Times New Roman"/>
          <w:sz w:val="24"/>
          <w:szCs w:val="24"/>
        </w:rPr>
        <w:lastRenderedPageBreak/>
        <w:t>certaines protéines virales du VHC et les différentes voies du métabolisme des lipides dans l’organisme.</w:t>
      </w:r>
    </w:p>
    <w:p w:rsidR="0002016D" w:rsidRDefault="0002016D" w:rsidP="0002016D">
      <w:pPr>
        <w:pStyle w:val="Default"/>
        <w:spacing w:line="360" w:lineRule="auto"/>
        <w:ind w:firstLine="708"/>
        <w:jc w:val="both"/>
        <w:rPr>
          <w:rFonts w:asciiTheme="majorBidi" w:hAnsiTheme="majorBidi"/>
        </w:rPr>
      </w:pPr>
      <w:r>
        <w:rPr>
          <w:rFonts w:asciiTheme="majorBidi" w:hAnsiTheme="majorBidi"/>
        </w:rPr>
        <w:t>Notre étude s’orientait vers une comparaison du profil hépatique et lipidique entre un groupe de malades atteints d’hépatite C et un groupe sain.</w:t>
      </w:r>
    </w:p>
    <w:p w:rsidR="0002016D" w:rsidRDefault="0002016D" w:rsidP="0002016D">
      <w:pPr>
        <w:pStyle w:val="Default"/>
        <w:spacing w:line="360" w:lineRule="auto"/>
        <w:ind w:firstLine="708"/>
        <w:jc w:val="both"/>
      </w:pPr>
      <w:r>
        <w:rPr>
          <w:rFonts w:asciiTheme="majorBidi" w:hAnsiTheme="majorBidi"/>
        </w:rPr>
        <w:t>L’objectif principal de ce travail est d’étudier les perturbations</w:t>
      </w:r>
      <w:r>
        <w:t xml:space="preserve"> du profil lipidique induites par l’infection du virus de l’hépatite C.</w:t>
      </w:r>
    </w:p>
    <w:p w:rsidR="0002016D" w:rsidRDefault="0002016D" w:rsidP="0002016D">
      <w:pPr>
        <w:pStyle w:val="Default"/>
        <w:spacing w:line="360" w:lineRule="auto"/>
        <w:ind w:firstLine="708"/>
        <w:jc w:val="both"/>
      </w:pPr>
    </w:p>
    <w:p w:rsidR="0002016D" w:rsidRDefault="0002016D" w:rsidP="0002016D">
      <w:pPr>
        <w:pStyle w:val="Default"/>
        <w:spacing w:line="360" w:lineRule="auto"/>
        <w:ind w:firstLine="708"/>
        <w:jc w:val="both"/>
      </w:pPr>
    </w:p>
    <w:p w:rsidR="00AD3B72" w:rsidRDefault="00AD3B72" w:rsidP="00CD3351">
      <w:pPr>
        <w:rPr>
          <w:rFonts w:ascii="Century Schoolbook" w:hAnsi="Century Schoolbook"/>
        </w:rPr>
        <w:sectPr w:rsidR="00AD3B72" w:rsidSect="00CD3351">
          <w:headerReference w:type="default" r:id="rId16"/>
          <w:footerReference w:type="default" r:id="rId17"/>
          <w:pgSz w:w="11906" w:h="16838"/>
          <w:pgMar w:top="1134" w:right="1134" w:bottom="1134" w:left="1418" w:header="397" w:footer="680" w:gutter="0"/>
          <w:pgNumType w:start="1"/>
          <w:cols w:space="708"/>
          <w:docGrid w:linePitch="360"/>
        </w:sectPr>
      </w:pPr>
    </w:p>
    <w:p w:rsidR="00F27246" w:rsidRDefault="00F27246" w:rsidP="00CD3351">
      <w:pPr>
        <w:rPr>
          <w:rFonts w:ascii="Century Schoolbook" w:hAnsi="Century Schoolbook"/>
          <w:sz w:val="52"/>
          <w:szCs w:val="52"/>
        </w:rPr>
      </w:pPr>
    </w:p>
    <w:p w:rsidR="00F27246" w:rsidRDefault="00F27246" w:rsidP="00CD3351">
      <w:pPr>
        <w:rPr>
          <w:rFonts w:ascii="Century Schoolbook" w:hAnsi="Century Schoolbook"/>
          <w:sz w:val="52"/>
          <w:szCs w:val="52"/>
        </w:rPr>
      </w:pPr>
    </w:p>
    <w:p w:rsidR="00F27246" w:rsidRDefault="00F27246" w:rsidP="00CD3351">
      <w:pPr>
        <w:rPr>
          <w:rFonts w:ascii="Century Schoolbook" w:hAnsi="Century Schoolbook"/>
          <w:sz w:val="52"/>
          <w:szCs w:val="52"/>
        </w:rPr>
      </w:pPr>
    </w:p>
    <w:p w:rsidR="00F27246" w:rsidRDefault="00F27246" w:rsidP="00CD3351">
      <w:pPr>
        <w:rPr>
          <w:rFonts w:ascii="Century Schoolbook" w:hAnsi="Century Schoolbook"/>
          <w:sz w:val="52"/>
          <w:szCs w:val="52"/>
        </w:rPr>
      </w:pPr>
    </w:p>
    <w:p w:rsidR="00F27246" w:rsidRDefault="00F27246" w:rsidP="00CD3351">
      <w:pPr>
        <w:rPr>
          <w:rFonts w:ascii="Century Schoolbook" w:hAnsi="Century Schoolbook"/>
          <w:sz w:val="52"/>
          <w:szCs w:val="52"/>
        </w:rPr>
      </w:pPr>
    </w:p>
    <w:p w:rsidR="00F27246" w:rsidRDefault="00F27246" w:rsidP="00CD3351">
      <w:pPr>
        <w:rPr>
          <w:rFonts w:ascii="Century Schoolbook" w:hAnsi="Century Schoolbook"/>
          <w:sz w:val="52"/>
          <w:szCs w:val="52"/>
        </w:rPr>
      </w:pPr>
    </w:p>
    <w:p w:rsidR="00F27246" w:rsidRPr="008E2539" w:rsidRDefault="00F27246" w:rsidP="00F27246">
      <w:pPr>
        <w:jc w:val="center"/>
        <w:rPr>
          <w:rFonts w:asciiTheme="majorBidi" w:hAnsiTheme="majorBidi" w:cstheme="majorBidi"/>
          <w:b/>
          <w:bCs/>
          <w:i/>
          <w:iCs/>
          <w:color w:val="7030A0"/>
          <w:sz w:val="72"/>
          <w:szCs w:val="72"/>
        </w:rPr>
      </w:pPr>
      <w:r w:rsidRPr="008E2539">
        <w:rPr>
          <w:rFonts w:asciiTheme="majorBidi" w:hAnsiTheme="majorBidi" w:cstheme="majorBidi"/>
          <w:b/>
          <w:bCs/>
          <w:i/>
          <w:iCs/>
          <w:color w:val="7030A0"/>
          <w:sz w:val="72"/>
          <w:szCs w:val="72"/>
        </w:rPr>
        <w:t>Chapitre I</w:t>
      </w:r>
    </w:p>
    <w:p w:rsidR="00F27246" w:rsidRPr="008E2539" w:rsidRDefault="00F27246" w:rsidP="00F27246">
      <w:pPr>
        <w:jc w:val="center"/>
        <w:rPr>
          <w:rFonts w:asciiTheme="majorBidi" w:hAnsiTheme="majorBidi" w:cstheme="majorBidi"/>
          <w:b/>
          <w:bCs/>
          <w:i/>
          <w:iCs/>
          <w:color w:val="7030A0"/>
          <w:sz w:val="72"/>
          <w:szCs w:val="72"/>
        </w:rPr>
      </w:pPr>
    </w:p>
    <w:p w:rsidR="00F24FBE" w:rsidRPr="008E2539" w:rsidRDefault="001D4718" w:rsidP="00F27246">
      <w:pPr>
        <w:jc w:val="center"/>
        <w:rPr>
          <w:rFonts w:asciiTheme="majorBidi" w:hAnsiTheme="majorBidi" w:cstheme="majorBidi"/>
          <w:b/>
          <w:bCs/>
          <w:i/>
          <w:iCs/>
          <w:color w:val="7030A0"/>
          <w:sz w:val="72"/>
          <w:szCs w:val="72"/>
        </w:rPr>
        <w:sectPr w:rsidR="00F24FBE" w:rsidRPr="008E2539" w:rsidSect="00CD3351">
          <w:headerReference w:type="default" r:id="rId18"/>
          <w:footerReference w:type="default" r:id="rId19"/>
          <w:pgSz w:w="11906" w:h="16838"/>
          <w:pgMar w:top="1134" w:right="1134" w:bottom="1134" w:left="1418" w:header="397" w:footer="680" w:gutter="0"/>
          <w:pgNumType w:start="1"/>
          <w:cols w:space="708"/>
          <w:docGrid w:linePitch="360"/>
        </w:sectPr>
      </w:pPr>
      <w:r>
        <w:rPr>
          <w:rFonts w:asciiTheme="majorBidi" w:hAnsiTheme="majorBidi" w:cstheme="majorBidi"/>
          <w:b/>
          <w:bCs/>
          <w:i/>
          <w:iCs/>
          <w:color w:val="7030A0"/>
          <w:sz w:val="72"/>
          <w:szCs w:val="72"/>
        </w:rPr>
        <w:t>Synthèse bibliographique</w:t>
      </w:r>
    </w:p>
    <w:p w:rsidR="00034C57" w:rsidRPr="00821854" w:rsidRDefault="00034C57" w:rsidP="00034C57">
      <w:pPr>
        <w:spacing w:line="360" w:lineRule="auto"/>
        <w:rPr>
          <w:rFonts w:asciiTheme="majorBidi" w:hAnsiTheme="majorBidi" w:cs="Times New Roman"/>
          <w:b/>
          <w:bCs/>
          <w:sz w:val="28"/>
          <w:szCs w:val="28"/>
        </w:rPr>
      </w:pPr>
      <w:r>
        <w:rPr>
          <w:rFonts w:asciiTheme="majorBidi" w:hAnsiTheme="majorBidi" w:cs="Times New Roman"/>
          <w:b/>
          <w:bCs/>
          <w:sz w:val="28"/>
          <w:szCs w:val="28"/>
        </w:rPr>
        <w:lastRenderedPageBreak/>
        <w:t xml:space="preserve">I : </w:t>
      </w:r>
      <w:r w:rsidRPr="00821854">
        <w:rPr>
          <w:rFonts w:asciiTheme="majorBidi" w:hAnsiTheme="majorBidi" w:cs="Times New Roman"/>
          <w:b/>
          <w:bCs/>
          <w:sz w:val="28"/>
          <w:szCs w:val="28"/>
        </w:rPr>
        <w:t>Le virus de l’hépatite C (VHC)</w:t>
      </w:r>
    </w:p>
    <w:p w:rsidR="001D4718" w:rsidRDefault="00034C57" w:rsidP="001D4718">
      <w:pPr>
        <w:pStyle w:val="Paragraphedeliste"/>
        <w:numPr>
          <w:ilvl w:val="0"/>
          <w:numId w:val="1"/>
        </w:numPr>
        <w:spacing w:line="360" w:lineRule="auto"/>
        <w:jc w:val="both"/>
        <w:rPr>
          <w:rFonts w:asciiTheme="majorBidi" w:hAnsiTheme="majorBidi" w:cs="Times New Roman"/>
          <w:b/>
          <w:bCs/>
          <w:sz w:val="24"/>
          <w:szCs w:val="24"/>
        </w:rPr>
      </w:pPr>
      <w:r w:rsidRPr="00042EF4">
        <w:rPr>
          <w:rFonts w:asciiTheme="majorBidi" w:hAnsiTheme="majorBidi" w:cs="Times New Roman"/>
          <w:b/>
          <w:bCs/>
          <w:sz w:val="24"/>
          <w:szCs w:val="24"/>
        </w:rPr>
        <w:t xml:space="preserve"> Découverte du VHC</w:t>
      </w:r>
    </w:p>
    <w:p w:rsidR="00034C57" w:rsidRPr="001D4718" w:rsidRDefault="001D4718" w:rsidP="001D4718">
      <w:pPr>
        <w:spacing w:line="360" w:lineRule="auto"/>
        <w:ind w:firstLine="360"/>
        <w:jc w:val="both"/>
        <w:rPr>
          <w:rFonts w:asciiTheme="majorBidi" w:hAnsiTheme="majorBidi" w:cs="Times New Roman"/>
          <w:b/>
          <w:bCs/>
          <w:sz w:val="24"/>
          <w:szCs w:val="24"/>
        </w:rPr>
      </w:pPr>
      <w:r>
        <w:rPr>
          <w:rFonts w:asciiTheme="majorBidi" w:hAnsiTheme="majorBidi" w:cs="Times New Roman"/>
          <w:sz w:val="24"/>
          <w:szCs w:val="24"/>
        </w:rPr>
        <w:t xml:space="preserve"> </w:t>
      </w:r>
      <w:r w:rsidR="00034C57" w:rsidRPr="001D4718">
        <w:rPr>
          <w:rFonts w:asciiTheme="majorBidi" w:hAnsiTheme="majorBidi" w:cs="Times New Roman"/>
          <w:sz w:val="24"/>
          <w:szCs w:val="24"/>
        </w:rPr>
        <w:t>En 1989, une banque d’ADN complémentaire (ADN</w:t>
      </w:r>
      <w:r w:rsidR="00B87FFD" w:rsidRPr="001D4718">
        <w:rPr>
          <w:rFonts w:asciiTheme="majorBidi" w:hAnsiTheme="majorBidi" w:cs="Times New Roman"/>
          <w:sz w:val="24"/>
          <w:szCs w:val="24"/>
        </w:rPr>
        <w:t xml:space="preserve">c) a été construite à partir du </w:t>
      </w:r>
      <w:r w:rsidR="00034C57" w:rsidRPr="001D4718">
        <w:rPr>
          <w:rFonts w:asciiTheme="majorBidi" w:hAnsiTheme="majorBidi" w:cs="Times New Roman"/>
          <w:sz w:val="24"/>
          <w:szCs w:val="24"/>
        </w:rPr>
        <w:t>plasma d’un chimpanzé ayant développé une hépatite chronique, après infection par le sérum d’un patient infecté par une hépatite virale. Le criblage de cette banque d’ADNc et des expériences complémentaires ont ensuite permis d’identifier le virus de l’hépatite C (VHC). Le VHC est le premier virus entièrement isolé par des méthodes de biologie moléculaire, sans que les particules virales ne soient isolées et que le virus ne puisse être cultivé</w:t>
      </w:r>
      <w:r w:rsidR="00034C57" w:rsidRPr="001D4718">
        <w:rPr>
          <w:rFonts w:asciiTheme="majorBidi" w:hAnsiTheme="majorBidi" w:cs="Times New Roman"/>
          <w:b/>
          <w:bCs/>
          <w:sz w:val="24"/>
          <w:szCs w:val="24"/>
        </w:rPr>
        <w:t xml:space="preserve"> (Benbria, 2010).</w:t>
      </w:r>
    </w:p>
    <w:p w:rsidR="00034C57" w:rsidRDefault="00034C57" w:rsidP="00034C57">
      <w:pPr>
        <w:pStyle w:val="Paragraphedeliste"/>
        <w:numPr>
          <w:ilvl w:val="0"/>
          <w:numId w:val="1"/>
        </w:numPr>
        <w:autoSpaceDE w:val="0"/>
        <w:autoSpaceDN w:val="0"/>
        <w:adjustRightInd w:val="0"/>
        <w:spacing w:after="0" w:line="360" w:lineRule="auto"/>
        <w:jc w:val="both"/>
        <w:rPr>
          <w:rFonts w:ascii="Times New Roman" w:hAnsi="Times New Roman" w:cs="Times New Roman"/>
          <w:b/>
          <w:sz w:val="24"/>
          <w:szCs w:val="24"/>
        </w:rPr>
      </w:pPr>
      <w:r w:rsidRPr="00042EF4">
        <w:rPr>
          <w:rFonts w:ascii="Times New Roman" w:hAnsi="Times New Roman" w:cs="Times New Roman"/>
          <w:b/>
          <w:sz w:val="24"/>
          <w:szCs w:val="24"/>
        </w:rPr>
        <w:t xml:space="preserve">Structure et classification du VHC </w:t>
      </w:r>
    </w:p>
    <w:p w:rsidR="001D4718" w:rsidRDefault="001D4718" w:rsidP="001D471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034C57" w:rsidRPr="006175E0">
        <w:rPr>
          <w:rFonts w:ascii="Times New Roman" w:hAnsi="Times New Roman" w:cs="Times New Roman"/>
          <w:sz w:val="24"/>
          <w:szCs w:val="24"/>
        </w:rPr>
        <w:t>Depuis sa découverte en 1989, seule une structure putative du virus a pu être établie, du fait notamment de la faible quantité de virions circulants dans le sang des patients infectés</w:t>
      </w:r>
      <w:r w:rsidR="00034C57" w:rsidRPr="006175E0">
        <w:rPr>
          <w:rFonts w:asciiTheme="majorBidi" w:hAnsiTheme="majorBidi" w:cs="Times New Roman"/>
          <w:b/>
          <w:bCs/>
          <w:sz w:val="24"/>
          <w:szCs w:val="24"/>
        </w:rPr>
        <w:t xml:space="preserve"> (Depla, 2012)</w:t>
      </w:r>
      <w:r w:rsidR="00034C57" w:rsidRPr="006175E0">
        <w:rPr>
          <w:rFonts w:ascii="Times New Roman" w:hAnsi="Times New Roman" w:cs="Times New Roman"/>
          <w:b/>
          <w:bCs/>
          <w:sz w:val="24"/>
          <w:szCs w:val="24"/>
        </w:rPr>
        <w:t>.</w:t>
      </w:r>
    </w:p>
    <w:p w:rsidR="00034C57" w:rsidRPr="001D4718" w:rsidRDefault="001D4718" w:rsidP="001D471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34C57" w:rsidRPr="0008718A">
        <w:rPr>
          <w:rFonts w:asciiTheme="majorBidi" w:hAnsiTheme="majorBidi" w:cs="Times New Roman"/>
          <w:sz w:val="24"/>
          <w:szCs w:val="24"/>
        </w:rPr>
        <w:t xml:space="preserve">Le VHC a été classé comme le seul membre d’un nouveau genre nommé Hepacivirus au sein de la famille des flaviviridae. Cette famille regroupe les flavivirus, tels les virus des hépatites G et les virus de la fièvre jaune </w:t>
      </w:r>
      <w:r w:rsidR="00034C57" w:rsidRPr="0008718A">
        <w:rPr>
          <w:rFonts w:asciiTheme="majorBidi" w:hAnsiTheme="majorBidi" w:cs="Times New Roman"/>
          <w:b/>
          <w:bCs/>
          <w:sz w:val="24"/>
          <w:szCs w:val="24"/>
        </w:rPr>
        <w:t>(Zidani, 2011).</w:t>
      </w:r>
    </w:p>
    <w:p w:rsidR="00034C57" w:rsidRPr="00EB5BF0" w:rsidRDefault="001D4718" w:rsidP="00034C57">
      <w:pPr>
        <w:spacing w:line="360" w:lineRule="auto"/>
        <w:jc w:val="both"/>
        <w:rPr>
          <w:rFonts w:asciiTheme="majorBidi" w:hAnsiTheme="majorBidi" w:cs="Times New Roman"/>
          <w:b/>
          <w:bCs/>
          <w:sz w:val="24"/>
          <w:szCs w:val="24"/>
        </w:rPr>
      </w:pPr>
      <w:r>
        <w:rPr>
          <w:rFonts w:asciiTheme="majorBidi" w:hAnsiTheme="majorBidi" w:cs="Times New Roman"/>
          <w:sz w:val="24"/>
          <w:szCs w:val="24"/>
        </w:rPr>
        <w:t xml:space="preserve">       </w:t>
      </w:r>
      <w:r w:rsidR="00034C57">
        <w:rPr>
          <w:rFonts w:asciiTheme="majorBidi" w:hAnsiTheme="majorBidi" w:cs="Times New Roman"/>
          <w:sz w:val="24"/>
          <w:szCs w:val="24"/>
        </w:rPr>
        <w:t xml:space="preserve">Par analogie avec les autres virus de la famille des </w:t>
      </w:r>
      <w:r w:rsidR="00034C57" w:rsidRPr="0008718A">
        <w:rPr>
          <w:rFonts w:asciiTheme="majorBidi" w:hAnsiTheme="majorBidi" w:cs="Times New Roman"/>
          <w:sz w:val="24"/>
          <w:szCs w:val="24"/>
        </w:rPr>
        <w:t>flaviviridae</w:t>
      </w:r>
      <w:r w:rsidR="00034C57">
        <w:rPr>
          <w:rFonts w:asciiTheme="majorBidi" w:hAnsiTheme="majorBidi" w:cs="Times New Roman"/>
          <w:sz w:val="24"/>
          <w:szCs w:val="24"/>
        </w:rPr>
        <w:t>, l</w:t>
      </w:r>
      <w:r w:rsidR="00034C57" w:rsidRPr="00F260ED">
        <w:rPr>
          <w:rFonts w:asciiTheme="majorBidi" w:hAnsiTheme="majorBidi" w:cs="Times New Roman"/>
          <w:sz w:val="24"/>
          <w:szCs w:val="24"/>
        </w:rPr>
        <w:t>e VHC est un p</w:t>
      </w:r>
      <w:r w:rsidR="00034C57">
        <w:rPr>
          <w:rFonts w:asciiTheme="majorBidi" w:hAnsiTheme="majorBidi" w:cs="Times New Roman"/>
          <w:sz w:val="24"/>
          <w:szCs w:val="24"/>
        </w:rPr>
        <w:t>etit virus enveloppé de 60nm de</w:t>
      </w:r>
      <w:r w:rsidR="00034C57" w:rsidRPr="00F260ED">
        <w:rPr>
          <w:rFonts w:asciiTheme="majorBidi" w:hAnsiTheme="majorBidi" w:cs="Times New Roman"/>
          <w:sz w:val="24"/>
          <w:szCs w:val="24"/>
        </w:rPr>
        <w:t xml:space="preserve"> diamètre</w:t>
      </w:r>
      <w:r w:rsidR="00034C57">
        <w:rPr>
          <w:rFonts w:asciiTheme="majorBidi" w:hAnsiTheme="majorBidi" w:cs="Times New Roman"/>
          <w:sz w:val="24"/>
          <w:szCs w:val="24"/>
        </w:rPr>
        <w:t xml:space="preserve">, dont </w:t>
      </w:r>
      <w:r w:rsidR="00034C57" w:rsidRPr="00F260ED">
        <w:rPr>
          <w:rFonts w:asciiTheme="majorBidi" w:hAnsiTheme="majorBidi" w:cs="Times New Roman"/>
          <w:sz w:val="24"/>
          <w:szCs w:val="24"/>
        </w:rPr>
        <w:t>le  génome est un brin monocaténaire linéaire d’ARN de polarité positive contenu dans une capside icosaédrique</w:t>
      </w:r>
      <w:r w:rsidR="0039729C">
        <w:rPr>
          <w:rFonts w:asciiTheme="majorBidi" w:hAnsiTheme="majorBidi" w:cs="Times New Roman"/>
          <w:sz w:val="24"/>
          <w:szCs w:val="24"/>
        </w:rPr>
        <w:t xml:space="preserve"> </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pacing w:val="1"/>
          <w:sz w:val="24"/>
          <w:szCs w:val="24"/>
        </w:rPr>
        <w:t>nt</w:t>
      </w:r>
      <w:r w:rsidR="00034C57" w:rsidRPr="003317D7">
        <w:rPr>
          <w:rFonts w:ascii="Times New Roman" w:hAnsi="Times New Roman" w:cs="Times New Roman"/>
          <w:spacing w:val="-1"/>
          <w:sz w:val="24"/>
          <w:szCs w:val="24"/>
        </w:rPr>
        <w:t>o</w:t>
      </w:r>
      <w:r w:rsidR="00034C57" w:rsidRPr="003317D7">
        <w:rPr>
          <w:rFonts w:ascii="Times New Roman" w:hAnsi="Times New Roman" w:cs="Times New Roman"/>
          <w:spacing w:val="1"/>
          <w:sz w:val="24"/>
          <w:szCs w:val="24"/>
        </w:rPr>
        <w:t>ur</w:t>
      </w:r>
      <w:r w:rsidR="00034C57" w:rsidRPr="003317D7">
        <w:rPr>
          <w:rFonts w:ascii="Times New Roman" w:hAnsi="Times New Roman" w:cs="Times New Roman"/>
          <w:sz w:val="24"/>
          <w:szCs w:val="24"/>
        </w:rPr>
        <w:t>é</w:t>
      </w:r>
      <w:r w:rsidR="00034C57">
        <w:rPr>
          <w:rFonts w:ascii="Times New Roman" w:hAnsi="Times New Roman" w:cs="Times New Roman"/>
          <w:sz w:val="24"/>
          <w:szCs w:val="24"/>
        </w:rPr>
        <w:t>e</w:t>
      </w:r>
      <w:r w:rsidR="0039729C">
        <w:rPr>
          <w:rFonts w:ascii="Times New Roman" w:hAnsi="Times New Roman" w:cs="Times New Roman"/>
          <w:sz w:val="24"/>
          <w:szCs w:val="24"/>
        </w:rPr>
        <w:t xml:space="preserve"> </w:t>
      </w:r>
      <w:r w:rsidR="00034C57" w:rsidRPr="003317D7">
        <w:rPr>
          <w:rFonts w:ascii="Times New Roman" w:hAnsi="Times New Roman" w:cs="Times New Roman"/>
          <w:spacing w:val="1"/>
          <w:sz w:val="24"/>
          <w:szCs w:val="24"/>
        </w:rPr>
        <w:t>d</w:t>
      </w:r>
      <w:r w:rsidR="00034C57" w:rsidRPr="003317D7">
        <w:rPr>
          <w:rFonts w:ascii="Times New Roman" w:hAnsi="Times New Roman" w:cs="Times New Roman"/>
          <w:spacing w:val="-1"/>
          <w:sz w:val="24"/>
          <w:szCs w:val="24"/>
        </w:rPr>
        <w:t>’</w:t>
      </w:r>
      <w:r w:rsidR="00034C57" w:rsidRPr="003317D7">
        <w:rPr>
          <w:rFonts w:ascii="Times New Roman" w:hAnsi="Times New Roman" w:cs="Times New Roman"/>
          <w:spacing w:val="1"/>
          <w:sz w:val="24"/>
          <w:szCs w:val="24"/>
        </w:rPr>
        <w:t>un</w:t>
      </w:r>
      <w:r w:rsidR="00034C57" w:rsidRPr="003317D7">
        <w:rPr>
          <w:rFonts w:ascii="Times New Roman" w:hAnsi="Times New Roman" w:cs="Times New Roman"/>
          <w:sz w:val="24"/>
          <w:szCs w:val="24"/>
        </w:rPr>
        <w:t xml:space="preserve">e </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pacing w:val="1"/>
          <w:sz w:val="24"/>
          <w:szCs w:val="24"/>
        </w:rPr>
        <w:t>n</w:t>
      </w:r>
      <w:r w:rsidR="00034C57" w:rsidRPr="003317D7">
        <w:rPr>
          <w:rFonts w:ascii="Times New Roman" w:hAnsi="Times New Roman" w:cs="Times New Roman"/>
          <w:sz w:val="24"/>
          <w:szCs w:val="24"/>
        </w:rPr>
        <w:t>v</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pacing w:val="3"/>
          <w:sz w:val="24"/>
          <w:szCs w:val="24"/>
        </w:rPr>
        <w:t>l</w:t>
      </w:r>
      <w:r w:rsidR="00034C57" w:rsidRPr="003317D7">
        <w:rPr>
          <w:rFonts w:ascii="Times New Roman" w:hAnsi="Times New Roman" w:cs="Times New Roman"/>
          <w:spacing w:val="-1"/>
          <w:sz w:val="24"/>
          <w:szCs w:val="24"/>
        </w:rPr>
        <w:t>o</w:t>
      </w:r>
      <w:r w:rsidR="00034C57" w:rsidRPr="003317D7">
        <w:rPr>
          <w:rFonts w:ascii="Times New Roman" w:hAnsi="Times New Roman" w:cs="Times New Roman"/>
          <w:spacing w:val="1"/>
          <w:sz w:val="24"/>
          <w:szCs w:val="24"/>
        </w:rPr>
        <w:t>pp</w:t>
      </w:r>
      <w:r w:rsidR="00034C57" w:rsidRPr="003317D7">
        <w:rPr>
          <w:rFonts w:ascii="Times New Roman" w:hAnsi="Times New Roman" w:cs="Times New Roman"/>
          <w:sz w:val="24"/>
          <w:szCs w:val="24"/>
        </w:rPr>
        <w:t xml:space="preserve">e </w:t>
      </w:r>
      <w:r w:rsidR="00034C57" w:rsidRPr="003317D7">
        <w:rPr>
          <w:rFonts w:ascii="Times New Roman" w:hAnsi="Times New Roman" w:cs="Times New Roman"/>
          <w:spacing w:val="1"/>
          <w:sz w:val="24"/>
          <w:szCs w:val="24"/>
        </w:rPr>
        <w:t>dan</w:t>
      </w:r>
      <w:r w:rsidR="00034C57" w:rsidRPr="003317D7">
        <w:rPr>
          <w:rFonts w:ascii="Times New Roman" w:hAnsi="Times New Roman" w:cs="Times New Roman"/>
          <w:sz w:val="24"/>
          <w:szCs w:val="24"/>
        </w:rPr>
        <w:t xml:space="preserve">s </w:t>
      </w:r>
      <w:r w:rsidR="00034C57" w:rsidRPr="003317D7">
        <w:rPr>
          <w:rFonts w:ascii="Times New Roman" w:hAnsi="Times New Roman" w:cs="Times New Roman"/>
          <w:spacing w:val="3"/>
          <w:sz w:val="24"/>
          <w:szCs w:val="24"/>
        </w:rPr>
        <w:t>l</w:t>
      </w:r>
      <w:r w:rsidR="00034C57" w:rsidRPr="003317D7">
        <w:rPr>
          <w:rFonts w:ascii="Times New Roman" w:hAnsi="Times New Roman" w:cs="Times New Roman"/>
          <w:spacing w:val="1"/>
          <w:sz w:val="24"/>
          <w:szCs w:val="24"/>
        </w:rPr>
        <w:t>aqu</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z w:val="24"/>
          <w:szCs w:val="24"/>
        </w:rPr>
        <w:t>l</w:t>
      </w:r>
      <w:r w:rsidR="00034C57" w:rsidRPr="003317D7">
        <w:rPr>
          <w:rFonts w:ascii="Times New Roman" w:hAnsi="Times New Roman" w:cs="Times New Roman"/>
          <w:spacing w:val="3"/>
          <w:sz w:val="24"/>
          <w:szCs w:val="24"/>
        </w:rPr>
        <w:t>l</w:t>
      </w:r>
      <w:r w:rsidR="00034C57" w:rsidRPr="003317D7">
        <w:rPr>
          <w:rFonts w:ascii="Times New Roman" w:hAnsi="Times New Roman" w:cs="Times New Roman"/>
          <w:sz w:val="24"/>
          <w:szCs w:val="24"/>
        </w:rPr>
        <w:t xml:space="preserve">e </w:t>
      </w:r>
      <w:r w:rsidR="00034C57" w:rsidRPr="003317D7">
        <w:rPr>
          <w:rFonts w:ascii="Times New Roman" w:hAnsi="Times New Roman" w:cs="Times New Roman"/>
          <w:spacing w:val="-1"/>
          <w:sz w:val="24"/>
          <w:szCs w:val="24"/>
        </w:rPr>
        <w:t>so</w:t>
      </w:r>
      <w:r w:rsidR="00034C57" w:rsidRPr="003317D7">
        <w:rPr>
          <w:rFonts w:ascii="Times New Roman" w:hAnsi="Times New Roman" w:cs="Times New Roman"/>
          <w:spacing w:val="1"/>
          <w:sz w:val="24"/>
          <w:szCs w:val="24"/>
        </w:rPr>
        <w:t>n</w:t>
      </w:r>
      <w:r w:rsidR="00034C57" w:rsidRPr="003317D7">
        <w:rPr>
          <w:rFonts w:ascii="Times New Roman" w:hAnsi="Times New Roman" w:cs="Times New Roman"/>
          <w:sz w:val="24"/>
          <w:szCs w:val="24"/>
        </w:rPr>
        <w:t xml:space="preserve">t </w:t>
      </w:r>
      <w:r w:rsidR="00034C57" w:rsidRPr="003317D7">
        <w:rPr>
          <w:rFonts w:ascii="Times New Roman" w:hAnsi="Times New Roman" w:cs="Times New Roman"/>
          <w:spacing w:val="1"/>
          <w:sz w:val="24"/>
          <w:szCs w:val="24"/>
        </w:rPr>
        <w:t>an</w:t>
      </w:r>
      <w:r w:rsidR="00034C57" w:rsidRPr="003317D7">
        <w:rPr>
          <w:rFonts w:ascii="Times New Roman" w:hAnsi="Times New Roman" w:cs="Times New Roman"/>
          <w:spacing w:val="-1"/>
          <w:sz w:val="24"/>
          <w:szCs w:val="24"/>
        </w:rPr>
        <w:t>cr</w:t>
      </w:r>
      <w:r w:rsidR="00034C57" w:rsidRPr="003317D7">
        <w:rPr>
          <w:rFonts w:ascii="Times New Roman" w:hAnsi="Times New Roman" w:cs="Times New Roman"/>
          <w:spacing w:val="1"/>
          <w:sz w:val="24"/>
          <w:szCs w:val="24"/>
        </w:rPr>
        <w:t>é</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z w:val="24"/>
          <w:szCs w:val="24"/>
        </w:rPr>
        <w:t xml:space="preserve">s </w:t>
      </w:r>
      <w:r w:rsidR="00034C57" w:rsidRPr="003317D7">
        <w:rPr>
          <w:rFonts w:ascii="Times New Roman" w:hAnsi="Times New Roman" w:cs="Times New Roman"/>
          <w:spacing w:val="3"/>
          <w:sz w:val="24"/>
          <w:szCs w:val="24"/>
        </w:rPr>
        <w:t>l</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z w:val="24"/>
          <w:szCs w:val="24"/>
        </w:rPr>
        <w:t xml:space="preserve">s </w:t>
      </w:r>
      <w:r w:rsidR="00034C57" w:rsidRPr="003317D7">
        <w:rPr>
          <w:rFonts w:ascii="Times New Roman" w:hAnsi="Times New Roman" w:cs="Times New Roman"/>
          <w:spacing w:val="1"/>
          <w:sz w:val="24"/>
          <w:szCs w:val="24"/>
        </w:rPr>
        <w:t>g</w:t>
      </w:r>
      <w:r w:rsidR="00034C57" w:rsidRPr="003317D7">
        <w:rPr>
          <w:rFonts w:ascii="Times New Roman" w:hAnsi="Times New Roman" w:cs="Times New Roman"/>
          <w:spacing w:val="3"/>
          <w:sz w:val="24"/>
          <w:szCs w:val="24"/>
        </w:rPr>
        <w:t>l</w:t>
      </w:r>
      <w:r w:rsidR="00034C57" w:rsidRPr="003317D7">
        <w:rPr>
          <w:rFonts w:ascii="Times New Roman" w:hAnsi="Times New Roman" w:cs="Times New Roman"/>
          <w:sz w:val="24"/>
          <w:szCs w:val="24"/>
        </w:rPr>
        <w:t>y</w:t>
      </w:r>
      <w:r w:rsidR="00034C57" w:rsidRPr="003317D7">
        <w:rPr>
          <w:rFonts w:ascii="Times New Roman" w:hAnsi="Times New Roman" w:cs="Times New Roman"/>
          <w:spacing w:val="-1"/>
          <w:sz w:val="24"/>
          <w:szCs w:val="24"/>
        </w:rPr>
        <w:t>co</w:t>
      </w:r>
      <w:r w:rsidR="00034C57" w:rsidRPr="003317D7">
        <w:rPr>
          <w:rFonts w:ascii="Times New Roman" w:hAnsi="Times New Roman" w:cs="Times New Roman"/>
          <w:spacing w:val="1"/>
          <w:sz w:val="24"/>
          <w:szCs w:val="24"/>
        </w:rPr>
        <w:t>pr</w:t>
      </w:r>
      <w:r w:rsidR="00034C57" w:rsidRPr="003317D7">
        <w:rPr>
          <w:rFonts w:ascii="Times New Roman" w:hAnsi="Times New Roman" w:cs="Times New Roman"/>
          <w:spacing w:val="-1"/>
          <w:sz w:val="24"/>
          <w:szCs w:val="24"/>
        </w:rPr>
        <w:t>o</w:t>
      </w:r>
      <w:r w:rsidR="00034C57" w:rsidRPr="003317D7">
        <w:rPr>
          <w:rFonts w:ascii="Times New Roman" w:hAnsi="Times New Roman" w:cs="Times New Roman"/>
          <w:spacing w:val="1"/>
          <w:sz w:val="24"/>
          <w:szCs w:val="24"/>
        </w:rPr>
        <w:t>t</w:t>
      </w:r>
      <w:r w:rsidR="00034C57" w:rsidRPr="003317D7">
        <w:rPr>
          <w:rFonts w:ascii="Times New Roman" w:hAnsi="Times New Roman" w:cs="Times New Roman"/>
          <w:spacing w:val="-1"/>
          <w:sz w:val="24"/>
          <w:szCs w:val="24"/>
        </w:rPr>
        <w:t>é</w:t>
      </w:r>
      <w:r w:rsidR="00034C57" w:rsidRPr="003317D7">
        <w:rPr>
          <w:rFonts w:ascii="Times New Roman" w:hAnsi="Times New Roman" w:cs="Times New Roman"/>
          <w:spacing w:val="3"/>
          <w:sz w:val="24"/>
          <w:szCs w:val="24"/>
        </w:rPr>
        <w:t>i</w:t>
      </w:r>
      <w:r w:rsidR="00034C57" w:rsidRPr="003317D7">
        <w:rPr>
          <w:rFonts w:ascii="Times New Roman" w:hAnsi="Times New Roman" w:cs="Times New Roman"/>
          <w:spacing w:val="1"/>
          <w:sz w:val="24"/>
          <w:szCs w:val="24"/>
        </w:rPr>
        <w:t>n</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z w:val="24"/>
          <w:szCs w:val="24"/>
        </w:rPr>
        <w:t xml:space="preserve">s </w:t>
      </w:r>
      <w:r w:rsidR="00034C57" w:rsidRPr="003317D7">
        <w:rPr>
          <w:rFonts w:ascii="Times New Roman" w:hAnsi="Times New Roman" w:cs="Times New Roman"/>
          <w:spacing w:val="1"/>
          <w:sz w:val="24"/>
          <w:szCs w:val="24"/>
        </w:rPr>
        <w:t>d</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pacing w:val="1"/>
          <w:sz w:val="24"/>
          <w:szCs w:val="24"/>
        </w:rPr>
        <w:t>n</w:t>
      </w:r>
      <w:r w:rsidR="00034C57" w:rsidRPr="003317D7">
        <w:rPr>
          <w:rFonts w:ascii="Times New Roman" w:hAnsi="Times New Roman" w:cs="Times New Roman"/>
          <w:spacing w:val="2"/>
          <w:sz w:val="24"/>
          <w:szCs w:val="24"/>
        </w:rPr>
        <w:t>v</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pacing w:val="3"/>
          <w:sz w:val="24"/>
          <w:szCs w:val="24"/>
        </w:rPr>
        <w:t>l</w:t>
      </w:r>
      <w:r w:rsidR="00034C57" w:rsidRPr="003317D7">
        <w:rPr>
          <w:rFonts w:ascii="Times New Roman" w:hAnsi="Times New Roman" w:cs="Times New Roman"/>
          <w:spacing w:val="-1"/>
          <w:sz w:val="24"/>
          <w:szCs w:val="24"/>
        </w:rPr>
        <w:t>o</w:t>
      </w:r>
      <w:r w:rsidR="00034C57" w:rsidRPr="003317D7">
        <w:rPr>
          <w:rFonts w:ascii="Times New Roman" w:hAnsi="Times New Roman" w:cs="Times New Roman"/>
          <w:spacing w:val="1"/>
          <w:sz w:val="24"/>
          <w:szCs w:val="24"/>
        </w:rPr>
        <w:t>pp</w:t>
      </w:r>
      <w:r w:rsidR="00034C57" w:rsidRPr="003317D7">
        <w:rPr>
          <w:rFonts w:ascii="Times New Roman" w:hAnsi="Times New Roman" w:cs="Times New Roman"/>
          <w:sz w:val="24"/>
          <w:szCs w:val="24"/>
        </w:rPr>
        <w:t>e</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z w:val="24"/>
          <w:szCs w:val="24"/>
        </w:rPr>
        <w:t>1</w:t>
      </w:r>
      <w:r w:rsidR="00034C57" w:rsidRPr="003317D7">
        <w:rPr>
          <w:rFonts w:ascii="Times New Roman" w:hAnsi="Times New Roman" w:cs="Times New Roman"/>
          <w:spacing w:val="-1"/>
          <w:sz w:val="24"/>
          <w:szCs w:val="24"/>
        </w:rPr>
        <w:t>e</w:t>
      </w:r>
      <w:r w:rsidR="00034C57" w:rsidRPr="003317D7">
        <w:rPr>
          <w:rFonts w:ascii="Times New Roman" w:hAnsi="Times New Roman" w:cs="Times New Roman"/>
          <w:sz w:val="24"/>
          <w:szCs w:val="24"/>
        </w:rPr>
        <w:t>t</w:t>
      </w:r>
      <w:r w:rsidR="00034C57" w:rsidRPr="003317D7">
        <w:rPr>
          <w:rFonts w:ascii="Times New Roman" w:hAnsi="Times New Roman" w:cs="Times New Roman"/>
          <w:spacing w:val="-1"/>
          <w:sz w:val="24"/>
          <w:szCs w:val="24"/>
        </w:rPr>
        <w:t xml:space="preserve"> E</w:t>
      </w:r>
      <w:r w:rsidR="00034C57" w:rsidRPr="003317D7">
        <w:rPr>
          <w:rFonts w:ascii="Times New Roman" w:hAnsi="Times New Roman" w:cs="Times New Roman"/>
          <w:sz w:val="24"/>
          <w:szCs w:val="24"/>
        </w:rPr>
        <w:t>2</w:t>
      </w:r>
      <w:r w:rsidR="00034C57">
        <w:rPr>
          <w:rFonts w:ascii="Times New Roman" w:hAnsi="Times New Roman" w:cs="Times New Roman"/>
          <w:spacing w:val="2"/>
          <w:sz w:val="24"/>
          <w:szCs w:val="24"/>
        </w:rPr>
        <w:t> </w:t>
      </w:r>
      <w:r w:rsidR="00034C57">
        <w:rPr>
          <w:rFonts w:asciiTheme="majorBidi" w:hAnsiTheme="majorBidi" w:cs="Times New Roman"/>
          <w:sz w:val="24"/>
          <w:szCs w:val="24"/>
        </w:rPr>
        <w:t>et d’une taille de 9600 nucléotides</w:t>
      </w:r>
      <w:r w:rsidR="00034C57" w:rsidRPr="00424A57">
        <w:rPr>
          <w:rFonts w:asciiTheme="majorBidi" w:hAnsiTheme="majorBidi" w:cs="Times New Roman"/>
          <w:sz w:val="24"/>
          <w:szCs w:val="24"/>
        </w:rPr>
        <w:t xml:space="preserve"> flanquées de 2 régions non transcrites (NTR) en 5’ et en 3’ de la région codante</w:t>
      </w:r>
      <w:r w:rsidR="00034C57" w:rsidRPr="000952F9">
        <w:rPr>
          <w:rFonts w:asciiTheme="majorBidi" w:hAnsiTheme="majorBidi" w:cs="Times New Roman"/>
          <w:b/>
          <w:bCs/>
          <w:sz w:val="24"/>
          <w:szCs w:val="24"/>
        </w:rPr>
        <w:t>(figure</w:t>
      </w:r>
      <w:r w:rsidR="00034C57">
        <w:rPr>
          <w:rFonts w:asciiTheme="majorBidi" w:hAnsiTheme="majorBidi" w:cs="Times New Roman"/>
          <w:b/>
          <w:bCs/>
          <w:sz w:val="24"/>
          <w:szCs w:val="24"/>
        </w:rPr>
        <w:t xml:space="preserve"> I.1</w:t>
      </w:r>
      <w:r w:rsidR="00034C57" w:rsidRPr="000952F9">
        <w:rPr>
          <w:rFonts w:asciiTheme="majorBidi" w:hAnsiTheme="majorBidi" w:cs="Times New Roman"/>
          <w:b/>
          <w:bCs/>
          <w:sz w:val="24"/>
          <w:szCs w:val="24"/>
        </w:rPr>
        <w:t>)</w:t>
      </w:r>
      <w:r w:rsidR="0039729C">
        <w:rPr>
          <w:rFonts w:asciiTheme="majorBidi" w:hAnsiTheme="majorBidi" w:cs="Times New Roman"/>
          <w:b/>
          <w:bCs/>
          <w:sz w:val="24"/>
          <w:szCs w:val="24"/>
        </w:rPr>
        <w:t xml:space="preserve"> </w:t>
      </w:r>
      <w:r w:rsidR="00034C57" w:rsidRPr="00424A57">
        <w:rPr>
          <w:rFonts w:asciiTheme="majorBidi" w:hAnsiTheme="majorBidi" w:cs="Times New Roman"/>
          <w:b/>
          <w:bCs/>
          <w:sz w:val="24"/>
          <w:szCs w:val="24"/>
        </w:rPr>
        <w:t>(Kato</w:t>
      </w:r>
      <w:r w:rsidR="00034C57">
        <w:rPr>
          <w:rFonts w:asciiTheme="majorBidi" w:hAnsiTheme="majorBidi" w:cs="Times New Roman"/>
          <w:b/>
          <w:bCs/>
          <w:sz w:val="24"/>
          <w:szCs w:val="24"/>
        </w:rPr>
        <w:t>,</w:t>
      </w:r>
      <w:r w:rsidR="00034C57" w:rsidRPr="00424A57">
        <w:rPr>
          <w:rFonts w:asciiTheme="majorBidi" w:hAnsiTheme="majorBidi" w:cs="Times New Roman"/>
          <w:b/>
          <w:bCs/>
          <w:sz w:val="24"/>
          <w:szCs w:val="24"/>
        </w:rPr>
        <w:t xml:space="preserve"> 2000</w:t>
      </w:r>
      <w:r w:rsidR="00034C57">
        <w:rPr>
          <w:rFonts w:asciiTheme="majorBidi" w:hAnsiTheme="majorBidi" w:cs="Times New Roman"/>
          <w:b/>
          <w:bCs/>
          <w:sz w:val="24"/>
          <w:szCs w:val="24"/>
        </w:rPr>
        <w:t xml:space="preserve">). </w:t>
      </w:r>
      <w:r>
        <w:rPr>
          <w:rFonts w:asciiTheme="majorBidi" w:hAnsiTheme="majorBidi" w:cs="Times New Roman"/>
          <w:b/>
          <w:bCs/>
          <w:sz w:val="24"/>
          <w:szCs w:val="24"/>
        </w:rPr>
        <w:t xml:space="preserve">      </w:t>
      </w:r>
      <w:r w:rsidR="00034C57" w:rsidRPr="0066321D">
        <w:rPr>
          <w:rFonts w:asciiTheme="majorBidi" w:hAnsiTheme="majorBidi" w:cs="Times New Roman"/>
          <w:sz w:val="24"/>
          <w:szCs w:val="24"/>
        </w:rPr>
        <w:t>L</w:t>
      </w:r>
      <w:r w:rsidR="00034C57" w:rsidRPr="00DA6A2E">
        <w:rPr>
          <w:rFonts w:ascii="Times New Roman" w:hAnsi="Times New Roman" w:cs="Times New Roman"/>
          <w:sz w:val="24"/>
          <w:szCs w:val="24"/>
        </w:rPr>
        <w:t>es particules les plus infectieuses aient une</w:t>
      </w:r>
      <w:r w:rsidR="00034C57">
        <w:rPr>
          <w:rFonts w:ascii="Times New Roman" w:hAnsi="Times New Roman" w:cs="Times New Roman"/>
          <w:sz w:val="24"/>
          <w:szCs w:val="24"/>
        </w:rPr>
        <w:t xml:space="preserve"> densité comprise entre 1,09 et </w:t>
      </w:r>
      <w:r w:rsidR="00034C57" w:rsidRPr="00DA6A2E">
        <w:rPr>
          <w:rFonts w:ascii="Times New Roman" w:hAnsi="Times New Roman" w:cs="Times New Roman"/>
          <w:sz w:val="24"/>
          <w:szCs w:val="24"/>
        </w:rPr>
        <w:t>1,11g/ml</w:t>
      </w:r>
      <w:r w:rsidR="00034C57">
        <w:rPr>
          <w:rFonts w:ascii="Times New Roman" w:hAnsi="Times New Roman" w:cs="Times New Roman"/>
          <w:sz w:val="24"/>
          <w:szCs w:val="24"/>
        </w:rPr>
        <w:t xml:space="preserve">. </w:t>
      </w:r>
      <w:r w:rsidR="00034C57" w:rsidRPr="00DA6A2E">
        <w:rPr>
          <w:rFonts w:ascii="Times New Roman" w:hAnsi="Times New Roman" w:cs="Times New Roman"/>
          <w:sz w:val="24"/>
          <w:szCs w:val="24"/>
        </w:rPr>
        <w:t>La faible densité de ces par</w:t>
      </w:r>
      <w:r w:rsidR="00034C57">
        <w:rPr>
          <w:rFonts w:ascii="Times New Roman" w:hAnsi="Times New Roman" w:cs="Times New Roman"/>
          <w:sz w:val="24"/>
          <w:szCs w:val="24"/>
        </w:rPr>
        <w:t xml:space="preserve">ticules virales est liée à leur </w:t>
      </w:r>
      <w:r w:rsidR="00034C57" w:rsidRPr="00DA6A2E">
        <w:rPr>
          <w:rFonts w:ascii="Times New Roman" w:hAnsi="Times New Roman" w:cs="Times New Roman"/>
          <w:sz w:val="24"/>
          <w:szCs w:val="24"/>
        </w:rPr>
        <w:t xml:space="preserve">association avec des </w:t>
      </w:r>
      <w:r w:rsidR="00034C57" w:rsidRPr="00495B96">
        <w:rPr>
          <w:rFonts w:ascii="Times New Roman" w:hAnsi="Times New Roman" w:cs="Times New Roman"/>
          <w:sz w:val="24"/>
          <w:szCs w:val="24"/>
        </w:rPr>
        <w:t>lipoprotéines, nommées</w:t>
      </w:r>
      <w:r w:rsidR="00034C57">
        <w:rPr>
          <w:rFonts w:ascii="Times New Roman" w:hAnsi="Times New Roman" w:cs="Times New Roman"/>
          <w:sz w:val="24"/>
          <w:szCs w:val="24"/>
        </w:rPr>
        <w:t xml:space="preserve"> de ce fait les Lipo-Viro-</w:t>
      </w:r>
      <w:r w:rsidR="0039729C">
        <w:rPr>
          <w:rFonts w:ascii="Times New Roman" w:hAnsi="Times New Roman" w:cs="Times New Roman"/>
          <w:sz w:val="24"/>
          <w:szCs w:val="24"/>
        </w:rPr>
        <w:t xml:space="preserve">Particules (LVP). </w:t>
      </w:r>
      <w:r w:rsidR="00034C57" w:rsidRPr="00DA6A2E">
        <w:rPr>
          <w:rFonts w:ascii="Times New Roman" w:hAnsi="Times New Roman" w:cs="Times New Roman"/>
          <w:sz w:val="24"/>
          <w:szCs w:val="24"/>
        </w:rPr>
        <w:t>Cette association reflète l’interaction étroite</w:t>
      </w:r>
      <w:r w:rsidR="00034C57">
        <w:rPr>
          <w:rFonts w:ascii="Times New Roman" w:hAnsi="Times New Roman" w:cs="Times New Roman"/>
          <w:sz w:val="24"/>
          <w:szCs w:val="24"/>
        </w:rPr>
        <w:t xml:space="preserve"> entre l’assemblage du virus et </w:t>
      </w:r>
      <w:r w:rsidR="00034C57" w:rsidRPr="00DA6A2E">
        <w:rPr>
          <w:rFonts w:ascii="Times New Roman" w:hAnsi="Times New Roman" w:cs="Times New Roman"/>
          <w:sz w:val="24"/>
          <w:szCs w:val="24"/>
        </w:rPr>
        <w:t xml:space="preserve">la biosynthèse des VLDL </w:t>
      </w:r>
      <w:r w:rsidR="00034C57" w:rsidRPr="00495B96">
        <w:rPr>
          <w:rFonts w:asciiTheme="majorBidi" w:hAnsiTheme="majorBidi" w:cs="Times New Roman"/>
          <w:b/>
          <w:bCs/>
          <w:sz w:val="24"/>
          <w:szCs w:val="24"/>
        </w:rPr>
        <w:t>(Depla, 2012)</w:t>
      </w:r>
      <w:r w:rsidR="00034C57">
        <w:rPr>
          <w:rFonts w:asciiTheme="majorBidi" w:hAnsiTheme="majorBidi" w:cs="Times New Roman"/>
          <w:b/>
          <w:bCs/>
          <w:sz w:val="24"/>
          <w:szCs w:val="24"/>
        </w:rPr>
        <w:t>.</w:t>
      </w:r>
    </w:p>
    <w:p w:rsidR="00034C57" w:rsidRDefault="00034C57" w:rsidP="00034C57">
      <w:pPr>
        <w:autoSpaceDE w:val="0"/>
        <w:autoSpaceDN w:val="0"/>
        <w:adjustRightInd w:val="0"/>
        <w:spacing w:after="0" w:line="360" w:lineRule="auto"/>
        <w:jc w:val="center"/>
        <w:rPr>
          <w:rFonts w:ascii="Times New Roman" w:hAnsi="Times New Roman" w:cs="Times New Roman"/>
          <w:sz w:val="24"/>
          <w:szCs w:val="24"/>
        </w:rPr>
      </w:pPr>
      <w:r>
        <w:rPr>
          <w:noProof/>
          <w:lang w:eastAsia="fr-FR"/>
        </w:rPr>
        <w:lastRenderedPageBreak/>
        <w:drawing>
          <wp:anchor distT="0" distB="0" distL="114300" distR="114300" simplePos="0" relativeHeight="251663360" behindDoc="1" locked="0" layoutInCell="1" allowOverlap="1">
            <wp:simplePos x="0" y="0"/>
            <wp:positionH relativeFrom="column">
              <wp:posOffset>223520</wp:posOffset>
            </wp:positionH>
            <wp:positionV relativeFrom="paragraph">
              <wp:posOffset>3810</wp:posOffset>
            </wp:positionV>
            <wp:extent cx="5495925" cy="3095625"/>
            <wp:effectExtent l="19050" t="19050" r="9525" b="9525"/>
            <wp:wrapTight wrapText="bothSides">
              <wp:wrapPolygon edited="0">
                <wp:start x="-75" y="-133"/>
                <wp:lineTo x="-75" y="21666"/>
                <wp:lineTo x="21637" y="21666"/>
                <wp:lineTo x="21637" y="-133"/>
                <wp:lineTo x="-75" y="-133"/>
              </wp:wrapPolygon>
            </wp:wrapTight>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3095625"/>
                    </a:xfrm>
                    <a:prstGeom prst="rect">
                      <a:avLst/>
                    </a:prstGeom>
                    <a:noFill/>
                    <a:ln w="9525">
                      <a:solidFill>
                        <a:srgbClr val="000000"/>
                      </a:solidFill>
                      <a:miter lim="800000"/>
                      <a:headEnd/>
                      <a:tailEnd/>
                    </a:ln>
                  </pic:spPr>
                </pic:pic>
              </a:graphicData>
            </a:graphic>
          </wp:anchor>
        </w:drawing>
      </w:r>
    </w:p>
    <w:p w:rsidR="00034C57" w:rsidRPr="002633F5" w:rsidRDefault="00034C57" w:rsidP="00034C57">
      <w:pPr>
        <w:tabs>
          <w:tab w:val="left" w:pos="6525"/>
        </w:tabs>
        <w:jc w:val="center"/>
        <w:rPr>
          <w:rFonts w:ascii="Times New Roman" w:hAnsi="Times New Roman" w:cs="Times New Roman"/>
          <w:b/>
          <w:bCs/>
          <w:iCs/>
          <w:sz w:val="24"/>
          <w:szCs w:val="24"/>
        </w:rPr>
      </w:pPr>
      <w:r w:rsidRPr="002633F5">
        <w:rPr>
          <w:rFonts w:ascii="Times New Roman" w:hAnsi="Times New Roman" w:cs="Times New Roman"/>
          <w:b/>
          <w:bCs/>
          <w:iCs/>
          <w:sz w:val="24"/>
          <w:szCs w:val="24"/>
        </w:rPr>
        <w:t>Figure I.1</w:t>
      </w:r>
      <w:r>
        <w:rPr>
          <w:rFonts w:ascii="Times New Roman" w:hAnsi="Times New Roman" w:cs="Times New Roman"/>
          <w:b/>
          <w:bCs/>
          <w:iCs/>
          <w:sz w:val="24"/>
          <w:szCs w:val="24"/>
        </w:rPr>
        <w:t xml:space="preserve">. </w:t>
      </w:r>
      <w:r w:rsidRPr="00F921E8">
        <w:rPr>
          <w:rFonts w:ascii="Times New Roman" w:hAnsi="Times New Roman" w:cs="Times New Roman"/>
          <w:iCs/>
          <w:sz w:val="24"/>
          <w:szCs w:val="24"/>
        </w:rPr>
        <w:t>Structure de la particule virale</w:t>
      </w:r>
      <w:r w:rsidRPr="00F921E8">
        <w:rPr>
          <w:rFonts w:asciiTheme="majorBidi" w:hAnsiTheme="majorBidi" w:cs="Times New Roman"/>
          <w:b/>
          <w:bCs/>
          <w:sz w:val="24"/>
          <w:szCs w:val="24"/>
        </w:rPr>
        <w:t>(</w:t>
      </w:r>
      <w:r>
        <w:rPr>
          <w:rFonts w:asciiTheme="majorBidi" w:hAnsiTheme="majorBidi" w:cs="Times New Roman"/>
          <w:b/>
          <w:bCs/>
          <w:sz w:val="24"/>
          <w:szCs w:val="24"/>
        </w:rPr>
        <w:t>Depla, 2012)</w:t>
      </w:r>
      <w:r w:rsidRPr="00F921E8">
        <w:rPr>
          <w:rFonts w:asciiTheme="majorBidi" w:hAnsiTheme="majorBidi" w:cs="Times New Roman"/>
          <w:b/>
          <w:bCs/>
          <w:sz w:val="24"/>
          <w:szCs w:val="24"/>
        </w:rPr>
        <w:t>.</w:t>
      </w:r>
    </w:p>
    <w:p w:rsidR="001D4718" w:rsidRDefault="00034C57" w:rsidP="001D4718">
      <w:pPr>
        <w:pStyle w:val="Default"/>
        <w:numPr>
          <w:ilvl w:val="0"/>
          <w:numId w:val="1"/>
        </w:numPr>
        <w:spacing w:line="360" w:lineRule="auto"/>
        <w:jc w:val="both"/>
        <w:rPr>
          <w:b/>
          <w:bCs/>
        </w:rPr>
      </w:pPr>
      <w:r w:rsidRPr="00042EF4">
        <w:rPr>
          <w:b/>
          <w:bCs/>
        </w:rPr>
        <w:t xml:space="preserve"> Tropisme </w:t>
      </w:r>
    </w:p>
    <w:p w:rsidR="00034C57" w:rsidRPr="001D4718" w:rsidRDefault="001D4718" w:rsidP="001D4718">
      <w:pPr>
        <w:pStyle w:val="Default"/>
        <w:spacing w:line="360" w:lineRule="auto"/>
        <w:ind w:firstLine="360"/>
        <w:jc w:val="both"/>
        <w:rPr>
          <w:b/>
          <w:bCs/>
        </w:rPr>
      </w:pPr>
      <w:r>
        <w:rPr>
          <w:b/>
          <w:bCs/>
        </w:rPr>
        <w:t xml:space="preserve">  </w:t>
      </w:r>
      <w:r w:rsidR="00034C57" w:rsidRPr="00DA6A2E">
        <w:t xml:space="preserve">Le tropisme du VHC ne se limite pas seulement au tissu hépatique. Des séquences d’ARN du VHC ont été détectées par PCR et hybridation </w:t>
      </w:r>
      <w:r w:rsidR="00034C57" w:rsidRPr="001D4718">
        <w:rPr>
          <w:i/>
          <w:iCs/>
        </w:rPr>
        <w:t>in situ</w:t>
      </w:r>
      <w:r w:rsidR="00034C57" w:rsidRPr="00DA6A2E">
        <w:t xml:space="preserve"> dans les cellules mononuclées du sang périphérique. Le VHC serait capable d’infecter à la fois les lymphocytes B et T, de même que des cellules de la lignée monocytaire. Récemment, il a été suggéré que le système nerveux central (</w:t>
      </w:r>
      <w:r w:rsidR="00034C57">
        <w:t>le</w:t>
      </w:r>
      <w:r w:rsidR="00034C57" w:rsidRPr="00DA6A2E">
        <w:t xml:space="preserve"> tissu cérébra</w:t>
      </w:r>
      <w:r w:rsidR="00034C57">
        <w:t xml:space="preserve">l), de même que </w:t>
      </w:r>
      <w:r w:rsidR="00034C57" w:rsidRPr="00DA6A2E">
        <w:t>les muqueuses orales soient le siège de la réplication du VHC, notamment par la mise en évidence de brins d’ARN génomique négatifs dans ces tissus. Ces observations suggèrent qu’à côté du site principal hépatique, il existe des « réservoirs secondaires » du VHC responsables des manifestations extra hépatiques et à l’origine des mécanismes de genèse des «variant</w:t>
      </w:r>
      <w:r w:rsidR="00034C57">
        <w:t>s</w:t>
      </w:r>
      <w:r w:rsidR="00034C57" w:rsidRPr="00DA6A2E">
        <w:t xml:space="preserve"> » et de la persistance virale, et de la réinfection des foies greffés après transplantation </w:t>
      </w:r>
      <w:r w:rsidR="00034C57" w:rsidRPr="001D4718">
        <w:rPr>
          <w:b/>
          <w:bCs/>
        </w:rPr>
        <w:t>(Zidani, 2011).</w:t>
      </w:r>
    </w:p>
    <w:p w:rsidR="00034C57" w:rsidRDefault="00034C57" w:rsidP="00034C57">
      <w:pPr>
        <w:pStyle w:val="Default"/>
        <w:spacing w:line="360" w:lineRule="auto"/>
        <w:jc w:val="both"/>
        <w:rPr>
          <w:b/>
          <w:bCs/>
        </w:rPr>
      </w:pPr>
    </w:p>
    <w:p w:rsidR="001D4718" w:rsidRDefault="00034C57" w:rsidP="001D4718">
      <w:pPr>
        <w:pStyle w:val="Default"/>
        <w:numPr>
          <w:ilvl w:val="0"/>
          <w:numId w:val="1"/>
        </w:numPr>
        <w:spacing w:line="360" w:lineRule="auto"/>
        <w:rPr>
          <w:b/>
          <w:bCs/>
          <w:szCs w:val="28"/>
        </w:rPr>
      </w:pPr>
      <w:r w:rsidRPr="00042EF4">
        <w:rPr>
          <w:b/>
          <w:bCs/>
          <w:iCs/>
          <w:color w:val="auto"/>
          <w:szCs w:val="28"/>
        </w:rPr>
        <w:t xml:space="preserve">Cycle de réplication </w:t>
      </w:r>
    </w:p>
    <w:p w:rsidR="00034C57" w:rsidRPr="001D4718" w:rsidRDefault="001D4718" w:rsidP="001D4718">
      <w:pPr>
        <w:pStyle w:val="Default"/>
        <w:spacing w:line="360" w:lineRule="auto"/>
        <w:rPr>
          <w:b/>
          <w:bCs/>
          <w:szCs w:val="28"/>
        </w:rPr>
      </w:pPr>
      <w:r>
        <w:rPr>
          <w:b/>
          <w:bCs/>
          <w:szCs w:val="28"/>
        </w:rPr>
        <w:t xml:space="preserve">       </w:t>
      </w:r>
      <w:r w:rsidR="00034C57" w:rsidRPr="001D4718">
        <w:rPr>
          <w:szCs w:val="28"/>
        </w:rPr>
        <w:t xml:space="preserve">Les mécanismes de réplication du VHC sont encore imparfaitement connus du faite de l’absence d’un système de culture virale hautement efficace ou d’un bon modèle animale. Le cycle de la réplication du VHC peut être décrit en plusieurs phases </w:t>
      </w:r>
      <w:r w:rsidR="00034C57" w:rsidRPr="001D4718">
        <w:rPr>
          <w:b/>
          <w:bCs/>
          <w:szCs w:val="28"/>
        </w:rPr>
        <w:t>(Figure I.2) (Benbria, 2010).</w:t>
      </w:r>
    </w:p>
    <w:p w:rsidR="00034C57" w:rsidRDefault="00034C57" w:rsidP="00034C57">
      <w:pPr>
        <w:tabs>
          <w:tab w:val="left" w:pos="6525"/>
        </w:tabs>
        <w:spacing w:line="360" w:lineRule="auto"/>
        <w:jc w:val="both"/>
        <w:rPr>
          <w:rFonts w:ascii="Times New Roman" w:hAnsi="Times New Roman" w:cs="Times New Roman"/>
          <w:b/>
          <w:bCs/>
          <w:sz w:val="24"/>
          <w:szCs w:val="28"/>
        </w:rPr>
      </w:pPr>
      <w:r>
        <w:rPr>
          <w:rFonts w:ascii="Times New Roman" w:hAnsi="Times New Roman" w:cs="Times New Roman"/>
          <w:b/>
          <w:bCs/>
          <w:noProof/>
          <w:sz w:val="24"/>
          <w:szCs w:val="28"/>
          <w:lang w:eastAsia="fr-FR"/>
        </w:rPr>
        <w:lastRenderedPageBreak/>
        <w:drawing>
          <wp:inline distT="0" distB="0" distL="0" distR="0">
            <wp:extent cx="5886450" cy="3771900"/>
            <wp:effectExtent l="19050" t="1905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3771900"/>
                    </a:xfrm>
                    <a:prstGeom prst="rect">
                      <a:avLst/>
                    </a:prstGeom>
                    <a:noFill/>
                    <a:ln w="9525" cmpd="sng">
                      <a:solidFill>
                        <a:srgbClr val="000000"/>
                      </a:solidFill>
                      <a:miter lim="800000"/>
                      <a:headEnd/>
                      <a:tailEnd/>
                    </a:ln>
                    <a:effectLst/>
                  </pic:spPr>
                </pic:pic>
              </a:graphicData>
            </a:graphic>
          </wp:inline>
        </w:drawing>
      </w:r>
    </w:p>
    <w:p w:rsidR="00034C57" w:rsidRDefault="00034C57" w:rsidP="00034C5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I.2. </w:t>
      </w:r>
      <w:r w:rsidRPr="00F921E8">
        <w:rPr>
          <w:rFonts w:ascii="Times New Roman" w:hAnsi="Times New Roman" w:cs="Times New Roman"/>
          <w:bCs/>
          <w:sz w:val="24"/>
          <w:szCs w:val="24"/>
        </w:rPr>
        <w:t>Cycle de réplication du VHC</w:t>
      </w:r>
      <w:r w:rsidR="0039729C">
        <w:rPr>
          <w:rFonts w:ascii="Times New Roman" w:hAnsi="Times New Roman" w:cs="Times New Roman"/>
          <w:bCs/>
          <w:sz w:val="24"/>
          <w:szCs w:val="24"/>
        </w:rPr>
        <w:t xml:space="preserve"> </w:t>
      </w:r>
      <w:r w:rsidRPr="009807AE">
        <w:rPr>
          <w:rFonts w:ascii="Times New Roman" w:hAnsi="Times New Roman" w:cs="Times New Roman"/>
          <w:b/>
          <w:sz w:val="24"/>
          <w:szCs w:val="24"/>
        </w:rPr>
        <w:t>(Piodi, 2010)</w:t>
      </w:r>
      <w:r>
        <w:rPr>
          <w:rFonts w:ascii="Times New Roman" w:hAnsi="Times New Roman" w:cs="Times New Roman"/>
          <w:b/>
          <w:sz w:val="24"/>
          <w:szCs w:val="24"/>
        </w:rPr>
        <w:t>.</w:t>
      </w:r>
    </w:p>
    <w:p w:rsidR="00034C57" w:rsidRDefault="00824C86" w:rsidP="00034C57">
      <w:pPr>
        <w:autoSpaceDE w:val="0"/>
        <w:autoSpaceDN w:val="0"/>
        <w:adjustRightInd w:val="0"/>
        <w:spacing w:after="0" w:line="240" w:lineRule="auto"/>
        <w:jc w:val="center"/>
        <w:rPr>
          <w:rFonts w:ascii="Times New Roman" w:hAnsi="Times New Roman" w:cs="Times New Roman"/>
          <w:b/>
          <w:sz w:val="24"/>
          <w:szCs w:val="24"/>
        </w:rPr>
      </w:pPr>
      <w:r w:rsidRPr="00824C86">
        <w:rPr>
          <w:noProof/>
          <w:lang w:eastAsia="fr-FR"/>
        </w:rPr>
        <w:pict>
          <v:shapetype id="_x0000_t202" coordsize="21600,21600" o:spt="202" path="m,l,21600r21600,l21600,xe">
            <v:stroke joinstyle="miter"/>
            <v:path gradientshapeok="t" o:connecttype="rect"/>
          </v:shapetype>
          <v:shape id="Zone de texte 28" o:spid="_x0000_s1027" type="#_x0000_t202" style="position:absolute;left:0;text-align:left;margin-left:-7.35pt;margin-top:9.3pt;width:477.15pt;height:129.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" filled="f" stroked="f">
            <v:textbox>
              <w:txbxContent>
                <w:p w:rsidR="006205BC" w:rsidRDefault="006205BC" w:rsidP="00034C57">
                  <w:pPr>
                    <w:jc w:val="both"/>
                  </w:pPr>
                  <w:r w:rsidRPr="00FE0F4C">
                    <w:rPr>
                      <w:rFonts w:ascii="Times New Roman" w:hAnsi="Times New Roman" w:cs="Times New Roman"/>
                      <w:bCs/>
                    </w:rPr>
                    <w:t>(a) attachement du virus et internalisation ; (b) relargage cytoplasmique et décapsidation ; (c) traduction médiée par l’IRES et clivage de la polyprotéine ; (d) réplication de l’ARN ; (e) empaquetage et assemblage des virions ; (f) maturation et excrétion des virions. La topologie des protéines virales au niveau des membranes du réticulum endoplasmique est indiquée schématiquement. La réplication de l’ARN viral a lieu au niveau d’un réseau de membranes altérées appelé « membranous web ». Il est important de noter que la traduction et le clivage de la polyprotéine, ainsi que la formation du membranous web et la réplication virale, illustrés par des étapes distinctes pour la simplicité du schéma, pourrait être des processus étroitement couplés</w:t>
                  </w:r>
                  <w:r w:rsidRPr="00350C46">
                    <w:rPr>
                      <w:rFonts w:ascii="Times New Roman" w:hAnsi="Times New Roman" w:cs="Times New Roman"/>
                      <w:bCs/>
                      <w:sz w:val="24"/>
                      <w:szCs w:val="24"/>
                    </w:rPr>
                    <w:t>.</w:t>
                  </w:r>
                </w:p>
              </w:txbxContent>
            </v:textbox>
          </v:shape>
        </w:pict>
      </w:r>
    </w:p>
    <w:p w:rsidR="00034C57" w:rsidRDefault="00034C57" w:rsidP="00034C57">
      <w:pPr>
        <w:autoSpaceDE w:val="0"/>
        <w:autoSpaceDN w:val="0"/>
        <w:adjustRightInd w:val="0"/>
        <w:spacing w:after="0" w:line="240" w:lineRule="auto"/>
        <w:jc w:val="center"/>
        <w:rPr>
          <w:rFonts w:ascii="Times New Roman" w:hAnsi="Times New Roman" w:cs="Times New Roman"/>
          <w:b/>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b/>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b/>
          <w:sz w:val="24"/>
          <w:szCs w:val="24"/>
        </w:rPr>
      </w:pPr>
    </w:p>
    <w:p w:rsidR="00034C57" w:rsidRPr="00350C46" w:rsidRDefault="00034C57" w:rsidP="00034C57">
      <w:pPr>
        <w:autoSpaceDE w:val="0"/>
        <w:autoSpaceDN w:val="0"/>
        <w:adjustRightInd w:val="0"/>
        <w:spacing w:after="0" w:line="240" w:lineRule="auto"/>
        <w:jc w:val="center"/>
        <w:rPr>
          <w:rFonts w:ascii="Times New Roman" w:hAnsi="Times New Roman" w:cs="Times New Roman"/>
          <w:bCs/>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bCs/>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bCs/>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b/>
          <w:sz w:val="24"/>
          <w:szCs w:val="24"/>
        </w:rPr>
      </w:pPr>
    </w:p>
    <w:p w:rsidR="00034C57" w:rsidRDefault="00034C57" w:rsidP="00034C57">
      <w:pPr>
        <w:tabs>
          <w:tab w:val="left" w:pos="6525"/>
        </w:tabs>
        <w:spacing w:line="360" w:lineRule="auto"/>
        <w:jc w:val="center"/>
        <w:rPr>
          <w:rFonts w:ascii="Times New Roman" w:hAnsi="Times New Roman" w:cs="Times New Roman"/>
          <w:bCs/>
          <w:sz w:val="24"/>
          <w:szCs w:val="28"/>
        </w:rPr>
      </w:pPr>
    </w:p>
    <w:p w:rsidR="00034C57" w:rsidRPr="00C53CD2" w:rsidRDefault="00034C57" w:rsidP="00034C57">
      <w:pPr>
        <w:pStyle w:val="Titre3"/>
        <w:numPr>
          <w:ilvl w:val="1"/>
          <w:numId w:val="1"/>
        </w:numPr>
        <w:spacing w:before="0" w:line="360" w:lineRule="auto"/>
        <w:jc w:val="both"/>
        <w:rPr>
          <w:rFonts w:asciiTheme="majorBidi" w:hAnsiTheme="majorBidi"/>
          <w:i/>
          <w:iCs/>
          <w:color w:val="auto"/>
          <w:sz w:val="24"/>
          <w:szCs w:val="24"/>
          <w:lang w:eastAsia="fr-FR"/>
        </w:rPr>
      </w:pPr>
      <w:r w:rsidRPr="00C53CD2">
        <w:rPr>
          <w:rFonts w:asciiTheme="majorBidi" w:hAnsiTheme="majorBidi"/>
          <w:i/>
          <w:iCs/>
          <w:color w:val="auto"/>
          <w:sz w:val="24"/>
          <w:szCs w:val="24"/>
          <w:lang w:eastAsia="fr-FR"/>
        </w:rPr>
        <w:t xml:space="preserve">  Récepteurs  du  VHC  </w:t>
      </w:r>
    </w:p>
    <w:p w:rsidR="00034C57" w:rsidRDefault="001D4718" w:rsidP="00034C57">
      <w:pPr>
        <w:autoSpaceDE w:val="0"/>
        <w:autoSpaceDN w:val="0"/>
        <w:adjustRightInd w:val="0"/>
        <w:spacing w:after="0" w:line="360" w:lineRule="auto"/>
        <w:jc w:val="both"/>
        <w:rPr>
          <w:rFonts w:asciiTheme="majorBidi" w:hAnsiTheme="majorBidi" w:cs="Times New Roman"/>
          <w:b/>
          <w:bCs/>
          <w:sz w:val="24"/>
          <w:szCs w:val="24"/>
        </w:rPr>
      </w:pPr>
      <w:r>
        <w:rPr>
          <w:rFonts w:asciiTheme="majorBidi" w:hAnsiTheme="majorBidi" w:cs="Times New Roman"/>
          <w:sz w:val="24"/>
          <w:szCs w:val="24"/>
        </w:rPr>
        <w:t xml:space="preserve">           </w:t>
      </w:r>
      <w:r w:rsidR="00034C57">
        <w:rPr>
          <w:rFonts w:asciiTheme="majorBidi" w:hAnsiTheme="majorBidi" w:cs="Times New Roman"/>
          <w:sz w:val="24"/>
          <w:szCs w:val="24"/>
        </w:rPr>
        <w:t xml:space="preserve"> L</w:t>
      </w:r>
      <w:r w:rsidR="00034C57" w:rsidRPr="00350C46">
        <w:rPr>
          <w:rFonts w:asciiTheme="majorBidi" w:hAnsiTheme="majorBidi" w:cs="Times New Roman"/>
          <w:sz w:val="24"/>
          <w:szCs w:val="24"/>
        </w:rPr>
        <w:t>es particules virales se lient avec une plus grande affinité à un récepteur ce qui leur permet de rentrer dans la cellule</w:t>
      </w:r>
      <w:r w:rsidR="0039729C">
        <w:rPr>
          <w:rFonts w:asciiTheme="majorBidi" w:hAnsiTheme="majorBidi" w:cs="Times New Roman"/>
          <w:sz w:val="24"/>
          <w:szCs w:val="24"/>
        </w:rPr>
        <w:t xml:space="preserve"> </w:t>
      </w:r>
      <w:r w:rsidR="00034C57" w:rsidRPr="00F921E8">
        <w:rPr>
          <w:rFonts w:asciiTheme="majorBidi" w:hAnsiTheme="majorBidi" w:cs="Times New Roman"/>
          <w:b/>
          <w:bCs/>
          <w:sz w:val="24"/>
          <w:szCs w:val="24"/>
        </w:rPr>
        <w:t>(Depla, 2011).</w:t>
      </w:r>
      <w:r w:rsidR="00034C57" w:rsidRPr="00350C46">
        <w:rPr>
          <w:rFonts w:asciiTheme="majorBidi" w:hAnsiTheme="majorBidi" w:cs="Times New Roman"/>
          <w:sz w:val="24"/>
          <w:szCs w:val="24"/>
        </w:rPr>
        <w:t xml:space="preserve">L’identification du ou des récepteurs du VHC est essentielle à la compréhension de sa pathogenèse. </w:t>
      </w:r>
      <w:r w:rsidR="00034C57">
        <w:rPr>
          <w:rFonts w:asciiTheme="majorBidi" w:hAnsiTheme="majorBidi" w:cs="Times New Roman"/>
          <w:sz w:val="24"/>
          <w:szCs w:val="24"/>
        </w:rPr>
        <w:t xml:space="preserve">Il existe plusieurs types des récepteurs </w:t>
      </w:r>
      <w:r w:rsidR="00034C57" w:rsidRPr="00350C46">
        <w:rPr>
          <w:rFonts w:asciiTheme="majorBidi" w:hAnsiTheme="majorBidi" w:cs="Times New Roman"/>
          <w:b/>
          <w:bCs/>
          <w:sz w:val="24"/>
          <w:szCs w:val="24"/>
        </w:rPr>
        <w:t>(Zidani, 2011)</w:t>
      </w:r>
      <w:r w:rsidR="00034C57">
        <w:rPr>
          <w:rFonts w:asciiTheme="majorBidi" w:hAnsiTheme="majorBidi" w:cs="Times New Roman"/>
          <w:b/>
          <w:bCs/>
          <w:sz w:val="24"/>
          <w:szCs w:val="24"/>
        </w:rPr>
        <w:t> :</w:t>
      </w:r>
    </w:p>
    <w:p w:rsidR="00034C57" w:rsidRPr="00350C46" w:rsidRDefault="00034C57" w:rsidP="00034C57">
      <w:pPr>
        <w:autoSpaceDE w:val="0"/>
        <w:autoSpaceDN w:val="0"/>
        <w:adjustRightInd w:val="0"/>
        <w:spacing w:after="0" w:line="360" w:lineRule="auto"/>
        <w:jc w:val="both"/>
        <w:rPr>
          <w:rFonts w:ascii="Times New Roman" w:hAnsi="Times New Roman" w:cs="Times New Roman"/>
          <w:sz w:val="24"/>
          <w:szCs w:val="24"/>
        </w:rPr>
      </w:pPr>
      <w:r w:rsidRPr="006556D2">
        <w:rPr>
          <w:rFonts w:ascii="Times New Roman" w:hAnsi="Times New Roman" w:cs="Times New Roman"/>
          <w:b/>
          <w:bCs/>
          <w:sz w:val="24"/>
          <w:szCs w:val="24"/>
        </w:rPr>
        <w:t>4.1.1. La protéine CD81</w:t>
      </w:r>
      <w:r w:rsidRPr="00305039">
        <w:rPr>
          <w:rFonts w:ascii="Times New Roman" w:hAnsi="Times New Roman" w:cs="Times New Roman"/>
          <w:b/>
          <w:bCs/>
          <w:sz w:val="24"/>
          <w:szCs w:val="24"/>
        </w:rPr>
        <w:t> :</w:t>
      </w:r>
      <w:r>
        <w:rPr>
          <w:rFonts w:ascii="Times New Roman" w:hAnsi="Times New Roman" w:cs="Times New Roman"/>
          <w:sz w:val="24"/>
          <w:szCs w:val="24"/>
        </w:rPr>
        <w:t xml:space="preserve"> c’est un récepteur exprimé au sein de tous les tissus, à l’exception des hématies et des plaquettes </w:t>
      </w:r>
      <w:r w:rsidRPr="00F921E8">
        <w:rPr>
          <w:rFonts w:ascii="Times New Roman" w:hAnsi="Times New Roman" w:cs="Times New Roman"/>
          <w:b/>
          <w:bCs/>
          <w:sz w:val="24"/>
          <w:szCs w:val="24"/>
        </w:rPr>
        <w:t>(Depla,</w:t>
      </w:r>
      <w:r w:rsidR="0039729C">
        <w:rPr>
          <w:rFonts w:ascii="Times New Roman" w:hAnsi="Times New Roman" w:cs="Times New Roman"/>
          <w:b/>
          <w:bCs/>
          <w:sz w:val="24"/>
          <w:szCs w:val="24"/>
        </w:rPr>
        <w:t xml:space="preserve"> </w:t>
      </w:r>
      <w:r w:rsidRPr="00F921E8">
        <w:rPr>
          <w:rFonts w:ascii="Times New Roman" w:hAnsi="Times New Roman" w:cs="Times New Roman"/>
          <w:b/>
          <w:bCs/>
          <w:sz w:val="24"/>
          <w:szCs w:val="24"/>
        </w:rPr>
        <w:t xml:space="preserve">2011). </w:t>
      </w:r>
      <w:r>
        <w:rPr>
          <w:rFonts w:ascii="Times New Roman" w:hAnsi="Times New Roman" w:cs="Times New Roman"/>
          <w:sz w:val="24"/>
          <w:szCs w:val="24"/>
        </w:rPr>
        <w:t xml:space="preserve">Il </w:t>
      </w:r>
      <w:r w:rsidRPr="00B206C7">
        <w:rPr>
          <w:rFonts w:ascii="Times New Roman" w:hAnsi="Times New Roman" w:cs="Times New Roman"/>
          <w:sz w:val="24"/>
          <w:szCs w:val="24"/>
        </w:rPr>
        <w:t>est impliquée dans un gr</w:t>
      </w:r>
      <w:r w:rsidRPr="00B206C7">
        <w:rPr>
          <w:rFonts w:asciiTheme="majorBidi" w:hAnsiTheme="majorBidi" w:cs="Times New Roman"/>
          <w:sz w:val="24"/>
          <w:szCs w:val="24"/>
        </w:rPr>
        <w:t xml:space="preserve">and nombre de fonctions cellulaires telles que l’adhésion cellulaire, l’activation, la prolifération et la différenciation des cellules B, T et autres types cellulaires. La protéine recombinante E2, est capable de bloquer la liaison d’anticorps dirigés contre CD81 et inversement, des anticorps anti-CD81 inhibent la liaison cellulaire d’E2, confirmant l’interaction spécifique de la glycoprotéine E2 avec la CD81 humaine. L’interaction d’E2 avec CD81 ferait intervenir la deuxième région hypervariable d’E2 (HVR2) </w:t>
      </w:r>
      <w:r w:rsidRPr="00B206C7">
        <w:rPr>
          <w:rFonts w:asciiTheme="majorBidi" w:hAnsiTheme="majorBidi" w:cs="Times New Roman"/>
          <w:b/>
          <w:bCs/>
          <w:sz w:val="24"/>
          <w:szCs w:val="24"/>
        </w:rPr>
        <w:t>(Mammette, 2002).</w:t>
      </w:r>
    </w:p>
    <w:p w:rsidR="00034C57" w:rsidRPr="00F27927" w:rsidRDefault="00034C57" w:rsidP="00034C57">
      <w:pPr>
        <w:autoSpaceDE w:val="0"/>
        <w:autoSpaceDN w:val="0"/>
        <w:adjustRightInd w:val="0"/>
        <w:spacing w:after="0" w:line="360" w:lineRule="auto"/>
        <w:jc w:val="both"/>
        <w:rPr>
          <w:rFonts w:ascii="Times New Roman" w:hAnsi="Times New Roman" w:cs="Times New Roman"/>
          <w:sz w:val="24"/>
          <w:szCs w:val="24"/>
        </w:rPr>
      </w:pPr>
      <w:r w:rsidRPr="00D07138">
        <w:rPr>
          <w:rFonts w:ascii="Times New Roman" w:hAnsi="Times New Roman" w:cs="Times New Roman"/>
          <w:b/>
          <w:bCs/>
          <w:sz w:val="24"/>
          <w:szCs w:val="24"/>
        </w:rPr>
        <w:lastRenderedPageBreak/>
        <w:t xml:space="preserve">4.1.2. Le récepteur des </w:t>
      </w:r>
      <w:r w:rsidRPr="00305039">
        <w:rPr>
          <w:rFonts w:ascii="Times New Roman" w:hAnsi="Times New Roman" w:cs="Times New Roman"/>
          <w:b/>
          <w:bCs/>
          <w:sz w:val="24"/>
          <w:szCs w:val="24"/>
        </w:rPr>
        <w:t>LDL</w:t>
      </w:r>
      <w:r w:rsidRPr="00305039">
        <w:rPr>
          <w:rFonts w:asciiTheme="majorBidi" w:hAnsiTheme="majorBidi" w:cs="Times New Roman"/>
          <w:b/>
          <w:bCs/>
          <w:sz w:val="24"/>
          <w:szCs w:val="24"/>
          <w:vertAlign w:val="subscript"/>
        </w:rPr>
        <w:t>S </w:t>
      </w:r>
      <w:r w:rsidRPr="00305039">
        <w:rPr>
          <w:rFonts w:asciiTheme="majorBidi" w:hAnsiTheme="majorBidi" w:cs="Times New Roman"/>
          <w:b/>
          <w:bCs/>
          <w:sz w:val="24"/>
          <w:szCs w:val="24"/>
        </w:rPr>
        <w:t>:</w:t>
      </w:r>
      <w:r w:rsidR="0039729C">
        <w:rPr>
          <w:rFonts w:asciiTheme="majorBidi" w:hAnsiTheme="majorBidi" w:cs="Times New Roman"/>
          <w:b/>
          <w:bCs/>
          <w:sz w:val="24"/>
          <w:szCs w:val="24"/>
        </w:rPr>
        <w:t xml:space="preserve"> </w:t>
      </w:r>
      <w:r>
        <w:rPr>
          <w:rFonts w:ascii="Times New Roman" w:hAnsi="Times New Roman" w:cs="Times New Roman"/>
          <w:sz w:val="24"/>
          <w:szCs w:val="24"/>
        </w:rPr>
        <w:t>il joue un rôle dans le métabolisme du cholestérol qui est transporté sous forme de LDL aux cellules hépatiques. Mais il p</w:t>
      </w:r>
      <w:r w:rsidRPr="00B206C7">
        <w:rPr>
          <w:rFonts w:asciiTheme="majorBidi" w:hAnsiTheme="majorBidi" w:cs="Times New Roman"/>
          <w:sz w:val="24"/>
          <w:szCs w:val="24"/>
        </w:rPr>
        <w:t>ourrait</w:t>
      </w:r>
      <w:r>
        <w:rPr>
          <w:rFonts w:asciiTheme="majorBidi" w:hAnsiTheme="majorBidi" w:cs="Times New Roman"/>
          <w:sz w:val="24"/>
          <w:szCs w:val="24"/>
        </w:rPr>
        <w:t xml:space="preserve"> être un récepteur pour les particules virales lors </w:t>
      </w:r>
      <w:r>
        <w:rPr>
          <w:rFonts w:ascii="Times New Roman" w:hAnsi="Times New Roman" w:cs="Times New Roman"/>
          <w:sz w:val="24"/>
          <w:szCs w:val="24"/>
        </w:rPr>
        <w:t>d’une infection par le VHC</w:t>
      </w:r>
      <w:r w:rsidRPr="00B206C7">
        <w:rPr>
          <w:rFonts w:asciiTheme="majorBidi" w:hAnsiTheme="majorBidi" w:cs="Times New Roman"/>
          <w:sz w:val="24"/>
          <w:szCs w:val="24"/>
        </w:rPr>
        <w:t>. Celui-ci pourrait permettre une internalisation  du virus par l’intermédiaire de VLDL</w:t>
      </w:r>
      <w:r w:rsidRPr="004C3694">
        <w:rPr>
          <w:rFonts w:asciiTheme="majorBidi" w:hAnsiTheme="majorBidi" w:cs="Times New Roman"/>
          <w:sz w:val="24"/>
          <w:szCs w:val="24"/>
          <w:vertAlign w:val="subscript"/>
        </w:rPr>
        <w:t>S</w:t>
      </w:r>
      <w:r w:rsidRPr="00B206C7">
        <w:rPr>
          <w:rFonts w:asciiTheme="majorBidi" w:hAnsiTheme="majorBidi" w:cs="Times New Roman"/>
          <w:sz w:val="24"/>
          <w:szCs w:val="24"/>
        </w:rPr>
        <w:t xml:space="preserve"> ou de LDL</w:t>
      </w:r>
      <w:r w:rsidRPr="004C3694">
        <w:rPr>
          <w:rFonts w:asciiTheme="majorBidi" w:hAnsiTheme="majorBidi" w:cs="Times New Roman"/>
          <w:sz w:val="24"/>
          <w:szCs w:val="24"/>
          <w:vertAlign w:val="subscript"/>
        </w:rPr>
        <w:t>S</w:t>
      </w:r>
      <w:r w:rsidRPr="00B206C7">
        <w:rPr>
          <w:rFonts w:asciiTheme="majorBidi" w:hAnsiTheme="majorBidi" w:cs="Times New Roman"/>
          <w:sz w:val="24"/>
          <w:szCs w:val="24"/>
        </w:rPr>
        <w:t xml:space="preserve"> présentes à la surface de la particule virale et potentiellement conduire à l’initiation d’un cycle infectieux du VHC </w:t>
      </w:r>
      <w:r w:rsidRPr="00B206C7">
        <w:rPr>
          <w:rFonts w:asciiTheme="majorBidi" w:hAnsiTheme="majorBidi" w:cs="Times New Roman"/>
          <w:b/>
          <w:bCs/>
          <w:sz w:val="24"/>
          <w:szCs w:val="24"/>
        </w:rPr>
        <w:t>(</w:t>
      </w:r>
      <w:r>
        <w:rPr>
          <w:rFonts w:asciiTheme="majorBidi" w:hAnsiTheme="majorBidi" w:cs="Times New Roman"/>
          <w:b/>
          <w:bCs/>
          <w:sz w:val="24"/>
          <w:szCs w:val="24"/>
        </w:rPr>
        <w:t>Depla, 2011) (Zidani</w:t>
      </w:r>
      <w:r w:rsidRPr="00B206C7">
        <w:rPr>
          <w:rFonts w:asciiTheme="majorBidi" w:hAnsiTheme="majorBidi" w:cs="Times New Roman"/>
          <w:b/>
          <w:bCs/>
          <w:sz w:val="24"/>
          <w:szCs w:val="24"/>
        </w:rPr>
        <w:t>, 2011).</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r>
        <w:rPr>
          <w:rFonts w:asciiTheme="majorBidi" w:hAnsiTheme="majorBidi" w:cs="Times New Roman"/>
          <w:b/>
          <w:bCs/>
          <w:sz w:val="24"/>
          <w:szCs w:val="24"/>
        </w:rPr>
        <w:t xml:space="preserve">           4.1.3. Le récepteur Scavenger BI (SR-BI) : </w:t>
      </w:r>
      <w:r w:rsidRPr="00941183">
        <w:rPr>
          <w:rFonts w:asciiTheme="majorBidi" w:hAnsiTheme="majorBidi" w:cs="Times New Roman"/>
          <w:sz w:val="24"/>
          <w:szCs w:val="24"/>
        </w:rPr>
        <w:t>Le scavenger</w:t>
      </w:r>
      <w:r>
        <w:rPr>
          <w:rFonts w:asciiTheme="majorBidi" w:hAnsiTheme="majorBidi" w:cs="Times New Roman"/>
          <w:sz w:val="24"/>
          <w:szCs w:val="24"/>
        </w:rPr>
        <w:t xml:space="preserve"> récepteur</w:t>
      </w:r>
      <w:r w:rsidRPr="00941183">
        <w:rPr>
          <w:rFonts w:asciiTheme="majorBidi" w:hAnsiTheme="majorBidi" w:cs="Times New Roman"/>
          <w:sz w:val="24"/>
          <w:szCs w:val="24"/>
        </w:rPr>
        <w:t xml:space="preserve"> BI a été identifi</w:t>
      </w:r>
      <w:r>
        <w:rPr>
          <w:rFonts w:asciiTheme="majorBidi" w:hAnsiTheme="majorBidi" w:cs="Times New Roman"/>
          <w:sz w:val="24"/>
          <w:szCs w:val="24"/>
        </w:rPr>
        <w:t>é</w:t>
      </w:r>
      <w:r w:rsidRPr="00941183">
        <w:rPr>
          <w:rFonts w:asciiTheme="majorBidi" w:hAnsiTheme="majorBidi" w:cs="Times New Roman"/>
          <w:sz w:val="24"/>
          <w:szCs w:val="24"/>
        </w:rPr>
        <w:t xml:space="preserve"> comme cofacteur du VHC en utilisant des glycoprotéines E2 immobilisées sur des colonnes d’affinit</w:t>
      </w:r>
      <w:r w:rsidRPr="00C65F9F">
        <w:rPr>
          <w:rFonts w:asciiTheme="majorBidi" w:hAnsiTheme="majorBidi" w:cs="Times New Roman"/>
          <w:sz w:val="24"/>
          <w:szCs w:val="24"/>
        </w:rPr>
        <w:t>é</w:t>
      </w:r>
      <w:r>
        <w:rPr>
          <w:rFonts w:asciiTheme="majorBidi" w:hAnsiTheme="majorBidi" w:cs="Times New Roman"/>
          <w:sz w:val="24"/>
          <w:szCs w:val="24"/>
        </w:rPr>
        <w:t xml:space="preserve">. </w:t>
      </w:r>
      <w:r w:rsidRPr="00941183">
        <w:rPr>
          <w:rFonts w:asciiTheme="majorBidi" w:hAnsiTheme="majorBidi" w:cs="Times New Roman"/>
          <w:sz w:val="24"/>
          <w:szCs w:val="24"/>
        </w:rPr>
        <w:t xml:space="preserve">Cette glycoprotéine exprimée à la surface des cellules contient deux </w:t>
      </w:r>
      <w:r w:rsidR="0039729C" w:rsidRPr="00941183">
        <w:rPr>
          <w:rFonts w:asciiTheme="majorBidi" w:hAnsiTheme="majorBidi" w:cs="Times New Roman"/>
          <w:sz w:val="24"/>
          <w:szCs w:val="24"/>
        </w:rPr>
        <w:t>domaines</w:t>
      </w:r>
      <w:r w:rsidR="0039729C">
        <w:rPr>
          <w:rFonts w:asciiTheme="majorBidi" w:hAnsiTheme="majorBidi" w:cs="Times New Roman"/>
          <w:sz w:val="24"/>
          <w:szCs w:val="24"/>
        </w:rPr>
        <w:t xml:space="preserve"> </w:t>
      </w:r>
      <w:r w:rsidRPr="00941183">
        <w:rPr>
          <w:rFonts w:asciiTheme="majorBidi" w:hAnsiTheme="majorBidi" w:cs="Times New Roman"/>
          <w:sz w:val="24"/>
          <w:szCs w:val="24"/>
        </w:rPr>
        <w:t xml:space="preserve">transmembranaires, une grande boucle extracellulaire et deux courts domaines </w:t>
      </w:r>
      <w:r>
        <w:rPr>
          <w:rFonts w:asciiTheme="majorBidi" w:hAnsiTheme="majorBidi" w:cs="Times New Roman"/>
          <w:sz w:val="24"/>
          <w:szCs w:val="24"/>
        </w:rPr>
        <w:t xml:space="preserve">intracellulaires </w:t>
      </w:r>
      <w:r w:rsidRPr="00941183">
        <w:rPr>
          <w:rFonts w:asciiTheme="majorBidi" w:hAnsiTheme="majorBidi" w:cs="Times New Roman"/>
          <w:sz w:val="24"/>
          <w:szCs w:val="24"/>
        </w:rPr>
        <w:t>(Figure 23). SR-BI est fortement exprim</w:t>
      </w:r>
      <w:r>
        <w:rPr>
          <w:rFonts w:asciiTheme="majorBidi" w:hAnsiTheme="majorBidi" w:cs="Times New Roman"/>
          <w:sz w:val="24"/>
          <w:szCs w:val="24"/>
        </w:rPr>
        <w:t>é</w:t>
      </w:r>
      <w:r w:rsidRPr="00941183">
        <w:rPr>
          <w:rFonts w:asciiTheme="majorBidi" w:hAnsiTheme="majorBidi" w:cs="Times New Roman"/>
          <w:sz w:val="24"/>
          <w:szCs w:val="24"/>
        </w:rPr>
        <w:t xml:space="preserve"> au niveau du foie mais aussi au</w:t>
      </w:r>
      <w:r w:rsidR="0039729C">
        <w:rPr>
          <w:rFonts w:asciiTheme="majorBidi" w:hAnsiTheme="majorBidi" w:cs="Times New Roman"/>
          <w:sz w:val="24"/>
          <w:szCs w:val="24"/>
        </w:rPr>
        <w:t xml:space="preserve"> </w:t>
      </w:r>
      <w:r w:rsidRPr="00941183">
        <w:rPr>
          <w:rFonts w:asciiTheme="majorBidi" w:hAnsiTheme="majorBidi" w:cs="Times New Roman"/>
          <w:sz w:val="24"/>
          <w:szCs w:val="24"/>
        </w:rPr>
        <w:t>niveau des tissus st</w:t>
      </w:r>
      <w:r>
        <w:rPr>
          <w:rFonts w:asciiTheme="majorBidi" w:hAnsiTheme="majorBidi" w:cs="Times New Roman"/>
          <w:sz w:val="24"/>
          <w:szCs w:val="24"/>
        </w:rPr>
        <w:t>é</w:t>
      </w:r>
      <w:r w:rsidRPr="00941183">
        <w:rPr>
          <w:rFonts w:asciiTheme="majorBidi" w:hAnsiTheme="majorBidi" w:cs="Times New Roman"/>
          <w:sz w:val="24"/>
          <w:szCs w:val="24"/>
        </w:rPr>
        <w:t>ro</w:t>
      </w:r>
      <w:r>
        <w:rPr>
          <w:rFonts w:asciiTheme="majorBidi" w:hAnsiTheme="majorBidi" w:cs="Times New Roman"/>
          <w:sz w:val="24"/>
          <w:szCs w:val="24"/>
        </w:rPr>
        <w:t>ïdogènes</w:t>
      </w:r>
      <w:r w:rsidR="0039729C">
        <w:rPr>
          <w:rFonts w:asciiTheme="majorBidi" w:hAnsiTheme="majorBidi" w:cs="Times New Roman"/>
          <w:sz w:val="24"/>
          <w:szCs w:val="24"/>
        </w:rPr>
        <w:t xml:space="preserve"> </w:t>
      </w:r>
      <w:r w:rsidRPr="00941183">
        <w:rPr>
          <w:rFonts w:asciiTheme="majorBidi" w:hAnsiTheme="majorBidi" w:cs="Times New Roman"/>
          <w:sz w:val="24"/>
          <w:szCs w:val="24"/>
        </w:rPr>
        <w:t>(ovaires et glandes surrénales). La fonction première de</w:t>
      </w:r>
      <w:r w:rsidR="0039729C">
        <w:rPr>
          <w:rFonts w:asciiTheme="majorBidi" w:hAnsiTheme="majorBidi" w:cs="Times New Roman"/>
          <w:sz w:val="24"/>
          <w:szCs w:val="24"/>
        </w:rPr>
        <w:t xml:space="preserve"> </w:t>
      </w:r>
      <w:r w:rsidRPr="00941183">
        <w:rPr>
          <w:rFonts w:asciiTheme="majorBidi" w:hAnsiTheme="majorBidi" w:cs="Times New Roman"/>
          <w:sz w:val="24"/>
          <w:szCs w:val="24"/>
        </w:rPr>
        <w:t>SR-BI est de lier les HDL. Cette protéine joue un rôle majeur dans le contrôle de la</w:t>
      </w:r>
      <w:r w:rsidR="0039729C">
        <w:rPr>
          <w:rFonts w:asciiTheme="majorBidi" w:hAnsiTheme="majorBidi" w:cs="Times New Roman"/>
          <w:sz w:val="24"/>
          <w:szCs w:val="24"/>
        </w:rPr>
        <w:t xml:space="preserve"> </w:t>
      </w:r>
      <w:r w:rsidRPr="00941183">
        <w:rPr>
          <w:rFonts w:asciiTheme="majorBidi" w:hAnsiTheme="majorBidi" w:cs="Times New Roman"/>
          <w:sz w:val="24"/>
          <w:szCs w:val="24"/>
        </w:rPr>
        <w:t>concentration plasmatique des HDL, en facilitant l'entrée sélective du cholestérol estérifi</w:t>
      </w:r>
      <w:r>
        <w:rPr>
          <w:rFonts w:asciiTheme="majorBidi" w:hAnsiTheme="majorBidi" w:cs="Times New Roman"/>
          <w:sz w:val="24"/>
          <w:szCs w:val="24"/>
        </w:rPr>
        <w:t xml:space="preserve">é </w:t>
      </w:r>
      <w:r w:rsidRPr="00941183">
        <w:rPr>
          <w:rFonts w:asciiTheme="majorBidi" w:hAnsiTheme="majorBidi" w:cs="Times New Roman"/>
          <w:sz w:val="24"/>
          <w:szCs w:val="24"/>
        </w:rPr>
        <w:t>des HDL dans la cellule et en régulant le flux sortant du cholestérol cellulaire. SR-BI joue</w:t>
      </w:r>
      <w:r w:rsidR="0039729C">
        <w:rPr>
          <w:rFonts w:asciiTheme="majorBidi" w:hAnsiTheme="majorBidi" w:cs="Times New Roman"/>
          <w:sz w:val="24"/>
          <w:szCs w:val="24"/>
        </w:rPr>
        <w:t xml:space="preserve"> </w:t>
      </w:r>
      <w:r w:rsidRPr="00941183">
        <w:rPr>
          <w:rFonts w:asciiTheme="majorBidi" w:hAnsiTheme="majorBidi" w:cs="Times New Roman"/>
          <w:sz w:val="24"/>
          <w:szCs w:val="24"/>
        </w:rPr>
        <w:t>également un rô</w:t>
      </w:r>
      <w:r>
        <w:rPr>
          <w:rFonts w:asciiTheme="majorBidi" w:hAnsiTheme="majorBidi" w:cs="Times New Roman"/>
          <w:sz w:val="24"/>
          <w:szCs w:val="24"/>
        </w:rPr>
        <w:t xml:space="preserve">le dans le métabolisme des VLDL </w:t>
      </w:r>
      <w:r w:rsidRPr="00941183">
        <w:rPr>
          <w:rFonts w:asciiTheme="majorBidi" w:hAnsiTheme="majorBidi" w:cs="Times New Roman"/>
          <w:sz w:val="24"/>
          <w:szCs w:val="24"/>
        </w:rPr>
        <w:t xml:space="preserve">et </w:t>
      </w:r>
      <w:r>
        <w:rPr>
          <w:rFonts w:asciiTheme="majorBidi" w:hAnsiTheme="majorBidi" w:cs="Times New Roman"/>
          <w:sz w:val="24"/>
          <w:szCs w:val="24"/>
        </w:rPr>
        <w:t xml:space="preserve">peut </w:t>
      </w:r>
      <w:r w:rsidRPr="00941183">
        <w:rPr>
          <w:rFonts w:asciiTheme="majorBidi" w:hAnsiTheme="majorBidi" w:cs="Times New Roman"/>
          <w:sz w:val="24"/>
          <w:szCs w:val="24"/>
        </w:rPr>
        <w:t>être un ré</w:t>
      </w:r>
      <w:r>
        <w:rPr>
          <w:rFonts w:asciiTheme="majorBidi" w:hAnsiTheme="majorBidi" w:cs="Times New Roman"/>
          <w:sz w:val="24"/>
          <w:szCs w:val="24"/>
        </w:rPr>
        <w:t>cepteur</w:t>
      </w:r>
      <w:r w:rsidRPr="00941183">
        <w:rPr>
          <w:rFonts w:asciiTheme="majorBidi" w:hAnsiTheme="majorBidi" w:cs="Times New Roman"/>
          <w:sz w:val="24"/>
          <w:szCs w:val="24"/>
        </w:rPr>
        <w:t xml:space="preserve"> pour ces</w:t>
      </w:r>
      <w:r w:rsidR="0039729C">
        <w:rPr>
          <w:rFonts w:asciiTheme="majorBidi" w:hAnsiTheme="majorBidi" w:cs="Times New Roman"/>
          <w:sz w:val="24"/>
          <w:szCs w:val="24"/>
        </w:rPr>
        <w:t xml:space="preserve"> </w:t>
      </w:r>
      <w:r w:rsidRPr="00941183">
        <w:rPr>
          <w:rFonts w:asciiTheme="majorBidi" w:hAnsiTheme="majorBidi" w:cs="Times New Roman"/>
          <w:sz w:val="24"/>
          <w:szCs w:val="24"/>
        </w:rPr>
        <w:t>lipoprotéines</w:t>
      </w:r>
      <w:r w:rsidR="0039729C">
        <w:rPr>
          <w:rFonts w:asciiTheme="majorBidi" w:hAnsiTheme="majorBidi" w:cs="Times New Roman"/>
          <w:sz w:val="24"/>
          <w:szCs w:val="24"/>
        </w:rPr>
        <w:t xml:space="preserve"> </w:t>
      </w:r>
      <w:r w:rsidRPr="00B914A8">
        <w:rPr>
          <w:rFonts w:ascii="Times New Roman" w:hAnsi="Times New Roman" w:cs="Times New Roman"/>
          <w:b/>
          <w:bCs/>
          <w:sz w:val="24"/>
          <w:szCs w:val="24"/>
        </w:rPr>
        <w:t>(</w:t>
      </w:r>
      <w:r w:rsidRPr="00B914A8">
        <w:rPr>
          <w:rFonts w:asciiTheme="majorBidi" w:hAnsiTheme="majorBidi" w:cs="Times New Roman"/>
          <w:b/>
          <w:bCs/>
          <w:sz w:val="24"/>
          <w:szCs w:val="24"/>
        </w:rPr>
        <w:t>Krieger, 2009)</w:t>
      </w:r>
      <w:r>
        <w:rPr>
          <w:rFonts w:asciiTheme="majorBidi" w:hAnsiTheme="majorBidi" w:cs="Times New Roman"/>
          <w:b/>
          <w:bCs/>
          <w:sz w:val="24"/>
          <w:szCs w:val="24"/>
        </w:rPr>
        <w:t>.</w:t>
      </w:r>
    </w:p>
    <w:p w:rsidR="00034C57" w:rsidRDefault="00034C57" w:rsidP="00034C57">
      <w:pPr>
        <w:spacing w:line="360" w:lineRule="auto"/>
        <w:ind w:firstLine="851"/>
        <w:jc w:val="both"/>
        <w:rPr>
          <w:rFonts w:asciiTheme="majorBidi" w:hAnsiTheme="majorBidi" w:cs="Times New Roman"/>
          <w:b/>
          <w:bCs/>
          <w:sz w:val="24"/>
          <w:szCs w:val="24"/>
        </w:rPr>
      </w:pPr>
      <w:r w:rsidRPr="00B206C7">
        <w:rPr>
          <w:rFonts w:asciiTheme="majorBidi" w:hAnsiTheme="majorBidi" w:cs="Times New Roman"/>
          <w:sz w:val="24"/>
          <w:szCs w:val="24"/>
        </w:rPr>
        <w:t>Le rôle de la protéine E1 reste à élucider. Toutes les études</w:t>
      </w:r>
      <w:r>
        <w:rPr>
          <w:rFonts w:asciiTheme="majorBidi" w:hAnsiTheme="majorBidi" w:cs="Times New Roman"/>
          <w:sz w:val="24"/>
          <w:szCs w:val="24"/>
        </w:rPr>
        <w:t xml:space="preserve"> réalisées jusqu’ici </w:t>
      </w:r>
      <w:r w:rsidRPr="00B206C7">
        <w:rPr>
          <w:rFonts w:asciiTheme="majorBidi" w:hAnsiTheme="majorBidi" w:cs="Times New Roman"/>
          <w:sz w:val="24"/>
          <w:szCs w:val="24"/>
        </w:rPr>
        <w:t>in</w:t>
      </w:r>
      <w:r>
        <w:rPr>
          <w:rFonts w:asciiTheme="majorBidi" w:hAnsiTheme="majorBidi" w:cs="Times New Roman"/>
          <w:sz w:val="24"/>
          <w:szCs w:val="24"/>
        </w:rPr>
        <w:t xml:space="preserve">diquent que les deux protéines </w:t>
      </w:r>
      <w:r w:rsidRPr="00B206C7">
        <w:rPr>
          <w:rFonts w:asciiTheme="majorBidi" w:hAnsiTheme="majorBidi" w:cs="Times New Roman"/>
          <w:sz w:val="24"/>
          <w:szCs w:val="24"/>
        </w:rPr>
        <w:t xml:space="preserve">E1et E2 sont indispensables pour la fixation et l’entrée dans la cellule cible </w:t>
      </w:r>
      <w:r w:rsidRPr="00B206C7">
        <w:rPr>
          <w:rFonts w:asciiTheme="majorBidi" w:hAnsiTheme="majorBidi" w:cs="Times New Roman"/>
          <w:b/>
          <w:bCs/>
          <w:sz w:val="24"/>
          <w:szCs w:val="24"/>
        </w:rPr>
        <w:t>(Mammette, 2002).</w:t>
      </w:r>
    </w:p>
    <w:p w:rsidR="00034C57" w:rsidRPr="00C53CD2" w:rsidRDefault="00034C57" w:rsidP="00034C57">
      <w:pPr>
        <w:pStyle w:val="Paragraphedeliste"/>
        <w:numPr>
          <w:ilvl w:val="1"/>
          <w:numId w:val="1"/>
        </w:numPr>
        <w:spacing w:line="360" w:lineRule="auto"/>
        <w:jc w:val="both"/>
        <w:rPr>
          <w:rFonts w:asciiTheme="majorBidi" w:hAnsiTheme="majorBidi" w:cs="Times New Roman"/>
          <w:b/>
          <w:bCs/>
          <w:i/>
          <w:iCs/>
          <w:sz w:val="24"/>
          <w:szCs w:val="24"/>
        </w:rPr>
      </w:pPr>
      <w:r w:rsidRPr="00C53CD2">
        <w:rPr>
          <w:rFonts w:asciiTheme="majorBidi" w:hAnsiTheme="majorBidi"/>
          <w:b/>
          <w:bCs/>
          <w:i/>
          <w:iCs/>
          <w:sz w:val="24"/>
          <w:szCs w:val="24"/>
          <w:lang w:eastAsia="fr-FR"/>
        </w:rPr>
        <w:t xml:space="preserve"> Entrée du virus</w:t>
      </w:r>
    </w:p>
    <w:p w:rsidR="00034C57" w:rsidRPr="003657E2" w:rsidRDefault="00034C57" w:rsidP="00034C57">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Une fois le virus lié à la membrane plasmique, le processus d’internalisation débute. Bien qu’encore largement inconnu, des éléments permettant de mieux le comprendre commencent à être mis en lumière. Tout d’abord l’internalisation se fait via un processus d’endocytose médié par la clathrine et la fusion des membranes aurait lieu dans l’endosome précoce. Le processus d’acidification du compartiment pourrait changer la conformation des protéines d’enveloppe du virus et permettre le rapprochement et la fusion des membranes. Les protéines E1 et E2 ne semblant pas réagir vis-à-vis des changements de pH, mais étant nécessaires, une ou plusieurs autres molécules présentes dans les vésicules et encore indéterminées devraient intervenir dans le mécanisme </w:t>
      </w:r>
      <w:r>
        <w:rPr>
          <w:rFonts w:ascii="Times New Roman" w:hAnsi="Times New Roman" w:cs="Times New Roman"/>
          <w:b/>
          <w:bCs/>
          <w:sz w:val="24"/>
          <w:szCs w:val="24"/>
        </w:rPr>
        <w:t>(F</w:t>
      </w:r>
      <w:r w:rsidRPr="00E11D3B">
        <w:rPr>
          <w:rFonts w:ascii="Times New Roman" w:hAnsi="Times New Roman" w:cs="Times New Roman"/>
          <w:b/>
          <w:bCs/>
          <w:sz w:val="24"/>
          <w:szCs w:val="24"/>
        </w:rPr>
        <w:t>ig</w:t>
      </w:r>
      <w:r>
        <w:rPr>
          <w:rFonts w:ascii="Times New Roman" w:hAnsi="Times New Roman" w:cs="Times New Roman"/>
          <w:b/>
          <w:bCs/>
          <w:sz w:val="24"/>
          <w:szCs w:val="24"/>
        </w:rPr>
        <w:t xml:space="preserve">ure I.3) </w:t>
      </w:r>
      <w:r w:rsidRPr="003657E2">
        <w:rPr>
          <w:rFonts w:ascii="Times New Roman" w:hAnsi="Times New Roman" w:cs="Times New Roman"/>
          <w:b/>
          <w:bCs/>
          <w:sz w:val="24"/>
          <w:szCs w:val="24"/>
        </w:rPr>
        <w:t xml:space="preserve">(Blanchard  et  </w:t>
      </w:r>
      <w:r w:rsidRPr="003657E2">
        <w:rPr>
          <w:rFonts w:ascii="Times New Roman" w:hAnsi="Times New Roman" w:cs="Times New Roman"/>
          <w:b/>
          <w:bCs/>
          <w:i/>
          <w:iCs/>
          <w:sz w:val="24"/>
          <w:szCs w:val="24"/>
        </w:rPr>
        <w:t>al.</w:t>
      </w:r>
      <w:r w:rsidR="0039729C">
        <w:rPr>
          <w:rFonts w:ascii="Times New Roman" w:hAnsi="Times New Roman" w:cs="Times New Roman"/>
          <w:b/>
          <w:bCs/>
          <w:i/>
          <w:iCs/>
          <w:sz w:val="24"/>
          <w:szCs w:val="24"/>
        </w:rPr>
        <w:t xml:space="preserve">, </w:t>
      </w:r>
      <w:r w:rsidRPr="003657E2">
        <w:rPr>
          <w:rFonts w:ascii="Times New Roman" w:hAnsi="Times New Roman" w:cs="Times New Roman"/>
          <w:b/>
          <w:bCs/>
          <w:sz w:val="24"/>
          <w:szCs w:val="24"/>
        </w:rPr>
        <w:t>2006).</w:t>
      </w:r>
    </w:p>
    <w:p w:rsidR="00034C57" w:rsidRDefault="00034C57" w:rsidP="00034C57">
      <w:pPr>
        <w:spacing w:line="360" w:lineRule="auto"/>
        <w:ind w:firstLine="851"/>
        <w:rPr>
          <w:rFonts w:asciiTheme="majorBidi" w:hAnsiTheme="majorBidi" w:cs="Times New Roman"/>
          <w:b/>
          <w:bCs/>
          <w:sz w:val="24"/>
          <w:szCs w:val="24"/>
        </w:rPr>
      </w:pPr>
      <w:r>
        <w:rPr>
          <w:noProof/>
          <w:lang w:eastAsia="fr-FR"/>
        </w:rPr>
        <w:lastRenderedPageBreak/>
        <w:drawing>
          <wp:anchor distT="0" distB="0" distL="114300" distR="114300" simplePos="0" relativeHeight="251665408" behindDoc="1" locked="0" layoutInCell="1" allowOverlap="1">
            <wp:simplePos x="0" y="0"/>
            <wp:positionH relativeFrom="column">
              <wp:posOffset>217170</wp:posOffset>
            </wp:positionH>
            <wp:positionV relativeFrom="paragraph">
              <wp:posOffset>19685</wp:posOffset>
            </wp:positionV>
            <wp:extent cx="5547995" cy="3420110"/>
            <wp:effectExtent l="19050" t="19050" r="0" b="8890"/>
            <wp:wrapTight wrapText="bothSides">
              <wp:wrapPolygon edited="0">
                <wp:start x="-74" y="-120"/>
                <wp:lineTo x="-74" y="21656"/>
                <wp:lineTo x="21583" y="21656"/>
                <wp:lineTo x="21583" y="-120"/>
                <wp:lineTo x="-74" y="-120"/>
              </wp:wrapPolygon>
            </wp:wrapTight>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7995" cy="3420110"/>
                    </a:xfrm>
                    <a:prstGeom prst="rect">
                      <a:avLst/>
                    </a:prstGeom>
                    <a:noFill/>
                    <a:ln w="9525">
                      <a:solidFill>
                        <a:srgbClr val="000000"/>
                      </a:solidFill>
                      <a:miter lim="800000"/>
                      <a:headEnd/>
                      <a:tailEnd/>
                    </a:ln>
                  </pic:spPr>
                </pic:pic>
              </a:graphicData>
            </a:graphic>
          </wp:anchor>
        </w:drawing>
      </w:r>
      <w:r>
        <w:rPr>
          <w:rFonts w:ascii="Times New Roman" w:hAnsi="Times New Roman" w:cs="Times New Roman"/>
          <w:b/>
          <w:bCs/>
          <w:sz w:val="24"/>
          <w:szCs w:val="24"/>
        </w:rPr>
        <w:t xml:space="preserve">                         Figure I.3</w:t>
      </w:r>
      <w:r w:rsidRPr="00E04518">
        <w:rPr>
          <w:rFonts w:ascii="Times New Roman" w:hAnsi="Times New Roman" w:cs="Times New Roman"/>
          <w:b/>
          <w:bCs/>
          <w:sz w:val="24"/>
          <w:szCs w:val="24"/>
        </w:rPr>
        <w:t>.</w:t>
      </w:r>
      <w:r w:rsidRPr="00F921E8">
        <w:rPr>
          <w:rFonts w:asciiTheme="majorBidi" w:hAnsiTheme="majorBidi" w:cs="Times New Roman"/>
          <w:sz w:val="24"/>
          <w:szCs w:val="24"/>
        </w:rPr>
        <w:t>Modèle d’entrée du VHC</w:t>
      </w:r>
      <w:r w:rsidR="00ED3E7B">
        <w:rPr>
          <w:rFonts w:asciiTheme="majorBidi" w:hAnsiTheme="majorBidi" w:cs="Times New Roman"/>
          <w:sz w:val="24"/>
          <w:szCs w:val="24"/>
        </w:rPr>
        <w:t xml:space="preserve"> </w:t>
      </w:r>
      <w:r w:rsidRPr="00F921E8">
        <w:rPr>
          <w:rFonts w:ascii="Times New Roman" w:hAnsi="Times New Roman" w:cs="Times New Roman"/>
          <w:b/>
          <w:bCs/>
          <w:sz w:val="24"/>
          <w:szCs w:val="24"/>
        </w:rPr>
        <w:t>(</w:t>
      </w:r>
      <w:r w:rsidRPr="00F921E8">
        <w:rPr>
          <w:rFonts w:asciiTheme="majorBidi" w:hAnsiTheme="majorBidi" w:cs="Times New Roman"/>
          <w:b/>
          <w:bCs/>
          <w:sz w:val="24"/>
          <w:szCs w:val="24"/>
        </w:rPr>
        <w:t>Krieger, 2009).</w:t>
      </w:r>
    </w:p>
    <w:p w:rsidR="00034C57" w:rsidRPr="00C53CD2" w:rsidRDefault="00034C57" w:rsidP="00034C57">
      <w:pPr>
        <w:pStyle w:val="Default"/>
        <w:numPr>
          <w:ilvl w:val="1"/>
          <w:numId w:val="1"/>
        </w:numPr>
        <w:spacing w:after="317" w:line="360" w:lineRule="auto"/>
        <w:rPr>
          <w:b/>
          <w:i/>
        </w:rPr>
      </w:pPr>
      <w:r w:rsidRPr="00C53CD2">
        <w:rPr>
          <w:b/>
          <w:i/>
        </w:rPr>
        <w:t xml:space="preserve">  Synthèse des protéines virales (traduction)</w:t>
      </w:r>
    </w:p>
    <w:p w:rsidR="00034C57" w:rsidRDefault="001D4718" w:rsidP="001D4718">
      <w:pPr>
        <w:pStyle w:val="Default"/>
        <w:spacing w:after="317" w:line="360" w:lineRule="auto"/>
        <w:jc w:val="both"/>
        <w:rPr>
          <w:b/>
          <w:iCs/>
        </w:rPr>
      </w:pPr>
      <w:r>
        <w:rPr>
          <w:bCs/>
          <w:iCs/>
        </w:rPr>
        <w:t xml:space="preserve"> </w:t>
      </w:r>
      <w:r>
        <w:rPr>
          <w:bCs/>
          <w:iCs/>
        </w:rPr>
        <w:tab/>
      </w:r>
      <w:r w:rsidR="00034C57" w:rsidRPr="006175E0">
        <w:rPr>
          <w:bCs/>
          <w:iCs/>
        </w:rPr>
        <w:t xml:space="preserve">La synthèse des protéines virales commence par la traduction du cadre de lecture ouvert qui donne naissance à une polyprotéine précurseur viral unique (figure I.4). Le génome viral libéré dans le cytoplasme est mis à la disposition de la machinerie cellulaire de traduction </w:t>
      </w:r>
      <w:r w:rsidR="00034C57" w:rsidRPr="006175E0">
        <w:rPr>
          <w:b/>
          <w:iCs/>
        </w:rPr>
        <w:t xml:space="preserve">(piodi, 2010). </w:t>
      </w:r>
      <w:r w:rsidR="00034C57" w:rsidRPr="006175E0">
        <w:rPr>
          <w:bCs/>
          <w:iCs/>
        </w:rPr>
        <w:t>L’IRES de la région 5’NC, permet l’assemblage du complexe ribosomal et l’initiation de la traduction de la polyprotéine</w:t>
      </w:r>
      <w:r w:rsidR="00ED3E7B">
        <w:rPr>
          <w:bCs/>
          <w:iCs/>
        </w:rPr>
        <w:t xml:space="preserve"> </w:t>
      </w:r>
      <w:r w:rsidR="00034C57" w:rsidRPr="006175E0">
        <w:rPr>
          <w:b/>
          <w:iCs/>
        </w:rPr>
        <w:t>(walic, 2013).</w:t>
      </w:r>
      <w:r w:rsidR="00034C57" w:rsidRPr="006175E0">
        <w:rPr>
          <w:bCs/>
          <w:iCs/>
        </w:rPr>
        <w:t xml:space="preserve"> La région X de l’extrémité 3’NC du génome viral semble jouer un rôle régulateur dans la traduction de l’ORF en interagissant avec la région 5’NC, probablement par l’intermédiaire de la polypyrimidine tract-bindingprotein (PTB) (</w:t>
      </w:r>
      <w:r w:rsidR="00034C57" w:rsidRPr="006175E0">
        <w:rPr>
          <w:b/>
          <w:iCs/>
        </w:rPr>
        <w:t>Piodi, 2010).</w:t>
      </w:r>
    </w:p>
    <w:p w:rsidR="00034C57" w:rsidRPr="006175E0" w:rsidRDefault="0039729C" w:rsidP="001D4718">
      <w:pPr>
        <w:pStyle w:val="Default"/>
        <w:spacing w:after="317" w:line="360" w:lineRule="auto"/>
        <w:ind w:firstLine="708"/>
        <w:jc w:val="both"/>
        <w:rPr>
          <w:b/>
          <w:iCs/>
        </w:rPr>
      </w:pPr>
      <w:r>
        <w:rPr>
          <w:rFonts w:asciiTheme="majorBidi" w:hAnsiTheme="majorBidi"/>
        </w:rPr>
        <w:t xml:space="preserve"> </w:t>
      </w:r>
      <w:r w:rsidR="00034C57" w:rsidRPr="00E710F5">
        <w:rPr>
          <w:rFonts w:asciiTheme="majorBidi" w:hAnsiTheme="majorBidi"/>
        </w:rPr>
        <w:t xml:space="preserve">La polyprotéine, pendant et après sa synthèse, est la cible de clivages effectués par des protéases soit cellulaires, soit </w:t>
      </w:r>
      <w:r w:rsidR="00034C57">
        <w:rPr>
          <w:rFonts w:asciiTheme="majorBidi" w:hAnsiTheme="majorBidi"/>
        </w:rPr>
        <w:t>virales</w:t>
      </w:r>
      <w:r w:rsidR="00034C57" w:rsidRPr="00F921E8">
        <w:rPr>
          <w:rFonts w:asciiTheme="majorBidi" w:hAnsiTheme="majorBidi"/>
          <w:b/>
          <w:bCs/>
        </w:rPr>
        <w:t xml:space="preserve"> (walic, 2013).</w:t>
      </w:r>
      <w:r w:rsidR="002F4B74">
        <w:rPr>
          <w:rFonts w:asciiTheme="majorBidi" w:hAnsiTheme="majorBidi"/>
          <w:b/>
          <w:bCs/>
        </w:rPr>
        <w:t xml:space="preserve"> </w:t>
      </w:r>
      <w:r w:rsidR="00034C57">
        <w:t xml:space="preserve">L’extrémité C-terminale de la protéine de capside est une séquence signal qui dirige les protéines E1 et E2 vers la lumière du réticulum </w:t>
      </w:r>
      <w:r w:rsidR="00034C57" w:rsidRPr="00F921E8">
        <w:rPr>
          <w:b/>
          <w:bCs/>
        </w:rPr>
        <w:t>(piodi, 2010).</w:t>
      </w:r>
      <w:r w:rsidR="002F4B74">
        <w:rPr>
          <w:b/>
          <w:bCs/>
        </w:rPr>
        <w:t xml:space="preserve"> </w:t>
      </w:r>
      <w:r w:rsidR="00034C57" w:rsidRPr="00E710F5">
        <w:rPr>
          <w:rFonts w:asciiTheme="majorBidi" w:hAnsiTheme="majorBidi"/>
        </w:rPr>
        <w:t xml:space="preserve">Les protéines de structure E1, E2, et </w:t>
      </w:r>
      <w:r w:rsidR="00034C57" w:rsidRPr="00A968D5">
        <w:rPr>
          <w:rFonts w:asciiTheme="majorBidi" w:hAnsiTheme="majorBidi"/>
        </w:rPr>
        <w:t>core </w:t>
      </w:r>
      <w:r w:rsidR="00034C57" w:rsidRPr="00E710F5">
        <w:rPr>
          <w:rFonts w:asciiTheme="majorBidi" w:hAnsiTheme="majorBidi"/>
        </w:rPr>
        <w:t xml:space="preserve"> ainsi que la protéine p7 sont cli</w:t>
      </w:r>
      <w:r w:rsidR="00034C57">
        <w:rPr>
          <w:rFonts w:asciiTheme="majorBidi" w:hAnsiTheme="majorBidi"/>
        </w:rPr>
        <w:t>vées par le</w:t>
      </w:r>
      <w:r w:rsidR="00034C57" w:rsidRPr="00E710F5">
        <w:rPr>
          <w:rFonts w:asciiTheme="majorBidi" w:hAnsiTheme="majorBidi"/>
        </w:rPr>
        <w:t xml:space="preserve"> signal peptidase du RE </w:t>
      </w:r>
      <w:r w:rsidR="00034C57">
        <w:t>et restent associées aux membranes. Le clivage de la jonction E2/p7 est parfois incomplet et conduit à la production de formes E2-p7 dont le rôle n’est pas connu. E1 et E2 subissent ensuite des étapes de maturation successives (N-glycosylation, conformation et dimérisation) donnant naissance aux glycoprotéines d’enveloppe matures fonctionnelles</w:t>
      </w:r>
      <w:r w:rsidR="00034C57" w:rsidRPr="00662BD2">
        <w:rPr>
          <w:b/>
          <w:bCs/>
        </w:rPr>
        <w:t xml:space="preserve"> (Piodi, 2010)</w:t>
      </w:r>
      <w:r w:rsidR="00034C57">
        <w:rPr>
          <w:b/>
          <w:bCs/>
        </w:rPr>
        <w:t xml:space="preserve">. </w:t>
      </w:r>
    </w:p>
    <w:p w:rsidR="00034C57" w:rsidRDefault="00034C57" w:rsidP="001D4718">
      <w:pPr>
        <w:autoSpaceDE w:val="0"/>
        <w:autoSpaceDN w:val="0"/>
        <w:adjustRightInd w:val="0"/>
        <w:spacing w:after="0" w:line="360" w:lineRule="auto"/>
        <w:ind w:firstLine="708"/>
        <w:jc w:val="both"/>
        <w:rPr>
          <w:rFonts w:ascii="Times New Roman" w:hAnsi="Times New Roman" w:cs="Times New Roman"/>
          <w:b/>
          <w:bCs/>
          <w:sz w:val="24"/>
          <w:szCs w:val="24"/>
        </w:rPr>
      </w:pPr>
      <w:r w:rsidRPr="00C65F9F">
        <w:rPr>
          <w:rFonts w:ascii="Times New Roman" w:hAnsi="Times New Roman" w:cs="Times New Roman"/>
          <w:sz w:val="24"/>
          <w:szCs w:val="24"/>
        </w:rPr>
        <w:lastRenderedPageBreak/>
        <w:t>En</w:t>
      </w:r>
      <w:r w:rsidR="001D4718">
        <w:rPr>
          <w:rFonts w:ascii="Times New Roman" w:hAnsi="Times New Roman" w:cs="Times New Roman"/>
          <w:sz w:val="24"/>
          <w:szCs w:val="24"/>
        </w:rPr>
        <w:t xml:space="preserve"> </w:t>
      </w:r>
      <w:r w:rsidRPr="00C65F9F">
        <w:rPr>
          <w:rFonts w:ascii="Times New Roman" w:hAnsi="Times New Roman" w:cs="Times New Roman"/>
          <w:sz w:val="24"/>
          <w:szCs w:val="24"/>
        </w:rPr>
        <w:t>revanche</w:t>
      </w:r>
      <w:r>
        <w:rPr>
          <w:rFonts w:ascii="Times New Roman" w:hAnsi="Times New Roman" w:cs="Times New Roman"/>
          <w:b/>
          <w:bCs/>
          <w:sz w:val="24"/>
          <w:szCs w:val="24"/>
        </w:rPr>
        <w:t xml:space="preserve">, </w:t>
      </w:r>
      <w:r w:rsidRPr="00E710F5">
        <w:rPr>
          <w:rFonts w:asciiTheme="majorBidi" w:hAnsiTheme="majorBidi" w:cs="Times New Roman"/>
          <w:sz w:val="24"/>
          <w:szCs w:val="24"/>
        </w:rPr>
        <w:t>les protéines non structurales sont clivées par deux protéases virales, la protéase auto-catalytique NS2-3 et la protéase NS3-4A</w:t>
      </w:r>
      <w:r w:rsidR="00ED3E7B">
        <w:rPr>
          <w:rFonts w:asciiTheme="majorBidi" w:hAnsiTheme="majorBidi" w:cs="Times New Roman"/>
          <w:sz w:val="24"/>
          <w:szCs w:val="24"/>
        </w:rPr>
        <w:t xml:space="preserve"> </w:t>
      </w:r>
      <w:r w:rsidRPr="00F921E8">
        <w:rPr>
          <w:rFonts w:asciiTheme="majorBidi" w:hAnsiTheme="majorBidi" w:cs="Times New Roman"/>
          <w:b/>
          <w:bCs/>
          <w:sz w:val="24"/>
          <w:szCs w:val="24"/>
        </w:rPr>
        <w:t>(Krieger, 2009).</w:t>
      </w:r>
      <w:r w:rsidR="00ED3E7B">
        <w:rPr>
          <w:rFonts w:asciiTheme="majorBidi" w:hAnsiTheme="majorBidi" w:cs="Times New Roman"/>
          <w:b/>
          <w:bCs/>
          <w:sz w:val="24"/>
          <w:szCs w:val="24"/>
        </w:rPr>
        <w:t xml:space="preserve"> </w:t>
      </w:r>
      <w:r>
        <w:rPr>
          <w:rFonts w:ascii="Times New Roman" w:hAnsi="Times New Roman" w:cs="Times New Roman"/>
          <w:sz w:val="24"/>
          <w:szCs w:val="24"/>
        </w:rPr>
        <w:t>La jonction NS2/NS3 est clivée par l’action auto</w:t>
      </w:r>
      <w:r w:rsidR="00ED3E7B">
        <w:rPr>
          <w:rFonts w:ascii="Times New Roman" w:hAnsi="Times New Roman" w:cs="Times New Roman"/>
          <w:sz w:val="24"/>
          <w:szCs w:val="24"/>
        </w:rPr>
        <w:t>-</w:t>
      </w:r>
      <w:r>
        <w:rPr>
          <w:rFonts w:ascii="Times New Roman" w:hAnsi="Times New Roman" w:cs="Times New Roman"/>
          <w:sz w:val="24"/>
          <w:szCs w:val="24"/>
        </w:rPr>
        <w:t xml:space="preserve">catalytique en </w:t>
      </w:r>
      <w:r>
        <w:rPr>
          <w:rFonts w:ascii="Times New Roman" w:hAnsi="Times New Roman" w:cs="Times New Roman"/>
          <w:i/>
          <w:iCs/>
          <w:sz w:val="24"/>
          <w:szCs w:val="24"/>
        </w:rPr>
        <w:t xml:space="preserve">cis </w:t>
      </w:r>
      <w:r>
        <w:rPr>
          <w:rFonts w:ascii="Times New Roman" w:hAnsi="Times New Roman" w:cs="Times New Roman"/>
          <w:sz w:val="24"/>
          <w:szCs w:val="24"/>
        </w:rPr>
        <w:t>de la protéase NS2-3. La sérine protéase NS3, associée à son cofacteur NS4A, assure quant à elle le clivage de l’ensemble des jonctions situées en aval : NS3/NS4A, NS4A/NS4B, NS4B/NS5A et NS5A/NS5B. Les protéines NS5A et NS5B sont secondairement phosphorylées, et NS5A pourrait subir un clivage ultérieur par une protéase cellulaire libérant un produit doté d’un site de localisation nucléaire et de propriétés d’activateur transcriptionnel</w:t>
      </w:r>
      <w:r w:rsidR="00ED3E7B">
        <w:rPr>
          <w:rFonts w:ascii="Times New Roman" w:hAnsi="Times New Roman" w:cs="Times New Roman"/>
          <w:sz w:val="24"/>
          <w:szCs w:val="24"/>
        </w:rPr>
        <w:t xml:space="preserve"> </w:t>
      </w:r>
      <w:r w:rsidRPr="00662BD2">
        <w:rPr>
          <w:rFonts w:ascii="Times New Roman" w:hAnsi="Times New Roman" w:cs="Times New Roman"/>
          <w:b/>
          <w:bCs/>
          <w:sz w:val="24"/>
          <w:szCs w:val="24"/>
        </w:rPr>
        <w:t>(Piodi, 2010)</w:t>
      </w:r>
      <w:r>
        <w:rPr>
          <w:rFonts w:ascii="Times New Roman" w:hAnsi="Times New Roman" w:cs="Times New Roman"/>
          <w:b/>
          <w:bCs/>
          <w:sz w:val="24"/>
          <w:szCs w:val="24"/>
        </w:rPr>
        <w:t xml:space="preserve">. </w:t>
      </w:r>
      <w:r w:rsidRPr="00E710F5">
        <w:rPr>
          <w:rFonts w:asciiTheme="majorBidi" w:hAnsiTheme="majorBidi" w:cs="Times New Roman"/>
          <w:sz w:val="24"/>
          <w:szCs w:val="24"/>
        </w:rPr>
        <w:t>Tous ces clivages ont lieu à la membrane du RE, à laquelle toutes les protéines du VHC vont se localiser</w:t>
      </w:r>
      <w:r w:rsidR="00ED3E7B">
        <w:rPr>
          <w:rFonts w:asciiTheme="majorBidi" w:hAnsiTheme="majorBidi" w:cs="Times New Roman"/>
          <w:sz w:val="24"/>
          <w:szCs w:val="24"/>
        </w:rPr>
        <w:t xml:space="preserve"> </w:t>
      </w:r>
      <w:r w:rsidRPr="003A745A">
        <w:rPr>
          <w:rFonts w:asciiTheme="majorBidi" w:hAnsiTheme="majorBidi" w:cs="Times New Roman"/>
          <w:b/>
          <w:bCs/>
          <w:sz w:val="24"/>
          <w:szCs w:val="24"/>
        </w:rPr>
        <w:t xml:space="preserve">(Krieger, 2009) </w:t>
      </w:r>
      <w:r w:rsidRPr="003A745A">
        <w:rPr>
          <w:rFonts w:ascii="Times New Roman" w:hAnsi="Times New Roman" w:cs="Times New Roman"/>
          <w:b/>
          <w:bCs/>
          <w:sz w:val="24"/>
          <w:szCs w:val="24"/>
        </w:rPr>
        <w:t>(Figure I.4).</w:t>
      </w:r>
    </w:p>
    <w:p w:rsidR="00034C57" w:rsidRDefault="00034C57" w:rsidP="00034C57">
      <w:pPr>
        <w:autoSpaceDE w:val="0"/>
        <w:autoSpaceDN w:val="0"/>
        <w:adjustRightInd w:val="0"/>
        <w:spacing w:after="0" w:line="360" w:lineRule="auto"/>
        <w:jc w:val="both"/>
        <w:rPr>
          <w:rFonts w:ascii="Times New Roman" w:hAnsi="Times New Roman"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r>
        <w:rPr>
          <w:rFonts w:ascii="Times New Roman" w:hAnsi="Times New Roman" w:cs="Times New Roman"/>
          <w:b/>
          <w:bCs/>
          <w:noProof/>
          <w:sz w:val="24"/>
          <w:szCs w:val="24"/>
          <w:lang w:eastAsia="fr-FR"/>
        </w:rPr>
        <w:drawing>
          <wp:inline distT="0" distB="0" distL="0" distR="0">
            <wp:extent cx="5943600" cy="2457450"/>
            <wp:effectExtent l="19050" t="1905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457450"/>
                    </a:xfrm>
                    <a:prstGeom prst="rect">
                      <a:avLst/>
                    </a:prstGeom>
                    <a:noFill/>
                    <a:ln w="9525" cmpd="sng">
                      <a:solidFill>
                        <a:srgbClr val="000000"/>
                      </a:solidFill>
                      <a:miter lim="800000"/>
                      <a:headEnd/>
                      <a:tailEnd/>
                    </a:ln>
                    <a:effectLst/>
                  </pic:spPr>
                </pic:pic>
              </a:graphicData>
            </a:graphic>
          </wp:inline>
        </w:drawing>
      </w:r>
    </w:p>
    <w:p w:rsidR="00034C57" w:rsidRDefault="00824C86" w:rsidP="00034C57">
      <w:pPr>
        <w:tabs>
          <w:tab w:val="left" w:pos="4536"/>
          <w:tab w:val="left" w:pos="6525"/>
        </w:tabs>
        <w:spacing w:line="360" w:lineRule="auto"/>
        <w:jc w:val="center"/>
        <w:rPr>
          <w:rFonts w:ascii="Times New Roman" w:hAnsi="Times New Roman" w:cs="Times New Roman"/>
          <w:b/>
          <w:bCs/>
          <w:sz w:val="24"/>
          <w:szCs w:val="24"/>
        </w:rPr>
      </w:pPr>
      <w:r w:rsidRPr="00824C86">
        <w:rPr>
          <w:noProof/>
          <w:lang w:eastAsia="fr-FR"/>
        </w:rPr>
        <w:pict>
          <v:shape id="Zone de texte 27" o:spid="_x0000_s1028" type="#_x0000_t202" style="position:absolute;left:0;text-align:left;margin-left:1.1pt;margin-top:20.15pt;width:468.7pt;height:62.5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" stroked="f">
            <v:textbox>
              <w:txbxContent>
                <w:p w:rsidR="006205BC" w:rsidRPr="00AC359D" w:rsidRDefault="006205BC" w:rsidP="00034C57">
                  <w:pPr>
                    <w:tabs>
                      <w:tab w:val="left" w:pos="4536"/>
                      <w:tab w:val="left" w:pos="6525"/>
                    </w:tabs>
                    <w:spacing w:line="240" w:lineRule="auto"/>
                    <w:jc w:val="both"/>
                    <w:rPr>
                      <w:rFonts w:ascii="Times New Roman" w:hAnsi="Times New Roman" w:cs="Times New Roman"/>
                      <w:b/>
                      <w:bCs/>
                    </w:rPr>
                  </w:pPr>
                  <w:r w:rsidRPr="00AC359D">
                    <w:rPr>
                      <w:rFonts w:ascii="Times New Roman" w:hAnsi="Times New Roman" w:cs="Times New Roman"/>
                    </w:rPr>
                    <w:t xml:space="preserve">La traduction du cadre de lecture ouvert par entrée interne des ribosomes au niveau de l’IRES donne naissance à une polyprotéine précurseur virale unique. La polyprotéine est ensuite clivée par les protéases cellulaires (losanges blanc (SPP) et noirs (SP)) et par l’action des protéases virales NS2/3 et NS3 (flèches). Les positions de clivages et les protéines résultantes sont indiquées en bas de la figure </w:t>
                  </w:r>
                </w:p>
                <w:p w:rsidR="006205BC" w:rsidRDefault="006205BC" w:rsidP="00034C57">
                  <w:pPr>
                    <w:spacing w:line="240" w:lineRule="auto"/>
                    <w:jc w:val="both"/>
                  </w:pPr>
                </w:p>
              </w:txbxContent>
            </v:textbox>
          </v:shape>
        </w:pict>
      </w:r>
      <w:r w:rsidR="00034C57">
        <w:rPr>
          <w:rFonts w:ascii="Times New Roman" w:hAnsi="Times New Roman" w:cs="Times New Roman"/>
          <w:b/>
          <w:bCs/>
          <w:sz w:val="24"/>
          <w:szCs w:val="24"/>
        </w:rPr>
        <w:t>Figure I.4</w:t>
      </w:r>
      <w:r w:rsidR="00034C57" w:rsidRPr="00662BD2">
        <w:rPr>
          <w:rFonts w:ascii="Times New Roman" w:hAnsi="Times New Roman" w:cs="Times New Roman"/>
          <w:b/>
          <w:bCs/>
          <w:sz w:val="24"/>
          <w:szCs w:val="24"/>
        </w:rPr>
        <w:t xml:space="preserve">. </w:t>
      </w:r>
      <w:r w:rsidR="00034C57" w:rsidRPr="00F921E8">
        <w:rPr>
          <w:rFonts w:ascii="Times New Roman" w:hAnsi="Times New Roman" w:cs="Times New Roman"/>
          <w:sz w:val="24"/>
          <w:szCs w:val="24"/>
        </w:rPr>
        <w:t>Traduction et maturation des protéines du VHC</w:t>
      </w:r>
      <w:r w:rsidR="00034C57" w:rsidRPr="00F921E8">
        <w:rPr>
          <w:rFonts w:ascii="Times New Roman" w:hAnsi="Times New Roman" w:cs="Times New Roman"/>
          <w:b/>
          <w:bCs/>
          <w:sz w:val="24"/>
          <w:szCs w:val="24"/>
        </w:rPr>
        <w:t>(Piodi, 2010)</w:t>
      </w:r>
      <w:r w:rsidR="00034C57">
        <w:rPr>
          <w:rFonts w:ascii="Times New Roman" w:hAnsi="Times New Roman" w:cs="Times New Roman"/>
          <w:b/>
          <w:bCs/>
          <w:sz w:val="24"/>
          <w:szCs w:val="24"/>
        </w:rPr>
        <w:t>.</w:t>
      </w:r>
    </w:p>
    <w:p w:rsidR="00034C57" w:rsidRDefault="00034C57" w:rsidP="00034C57">
      <w:pPr>
        <w:tabs>
          <w:tab w:val="left" w:pos="4536"/>
          <w:tab w:val="left" w:pos="6525"/>
        </w:tabs>
        <w:spacing w:line="360" w:lineRule="auto"/>
        <w:jc w:val="center"/>
        <w:rPr>
          <w:rFonts w:ascii="Times New Roman" w:hAnsi="Times New Roman" w:cs="Times New Roman"/>
          <w:b/>
          <w:bCs/>
          <w:sz w:val="24"/>
          <w:szCs w:val="24"/>
        </w:rPr>
      </w:pPr>
    </w:p>
    <w:p w:rsidR="00034C57" w:rsidRDefault="00034C57" w:rsidP="00034C57">
      <w:pPr>
        <w:tabs>
          <w:tab w:val="left" w:pos="4536"/>
          <w:tab w:val="left" w:pos="6525"/>
        </w:tabs>
        <w:spacing w:line="360" w:lineRule="auto"/>
        <w:jc w:val="center"/>
        <w:rPr>
          <w:rFonts w:ascii="Times New Roman" w:hAnsi="Times New Roman" w:cs="Times New Roman"/>
          <w:b/>
          <w:bCs/>
          <w:sz w:val="24"/>
          <w:szCs w:val="24"/>
        </w:rPr>
      </w:pPr>
    </w:p>
    <w:p w:rsidR="00034C57" w:rsidRPr="00C53CD2" w:rsidRDefault="00034C57" w:rsidP="00034C57">
      <w:pPr>
        <w:pStyle w:val="Titre3"/>
        <w:numPr>
          <w:ilvl w:val="1"/>
          <w:numId w:val="1"/>
        </w:numPr>
        <w:spacing w:before="0" w:line="360" w:lineRule="auto"/>
        <w:jc w:val="both"/>
        <w:rPr>
          <w:rFonts w:asciiTheme="majorBidi" w:hAnsiTheme="majorBidi"/>
          <w:i/>
          <w:iCs/>
          <w:color w:val="auto"/>
          <w:sz w:val="24"/>
          <w:szCs w:val="24"/>
          <w:lang w:eastAsia="fr-FR"/>
        </w:rPr>
      </w:pPr>
      <w:r w:rsidRPr="00C53CD2">
        <w:rPr>
          <w:rFonts w:asciiTheme="majorBidi" w:hAnsiTheme="majorBidi"/>
          <w:i/>
          <w:iCs/>
          <w:color w:val="auto"/>
          <w:sz w:val="24"/>
          <w:szCs w:val="24"/>
          <w:lang w:eastAsia="fr-FR"/>
        </w:rPr>
        <w:t>Réplication</w:t>
      </w:r>
    </w:p>
    <w:p w:rsidR="00034C57" w:rsidRDefault="00ED3E7B" w:rsidP="00ED3E7B">
      <w:pPr>
        <w:autoSpaceDE w:val="0"/>
        <w:autoSpaceDN w:val="0"/>
        <w:adjustRightInd w:val="0"/>
        <w:spacing w:after="0" w:line="360" w:lineRule="auto"/>
        <w:ind w:firstLine="360"/>
        <w:jc w:val="both"/>
        <w:rPr>
          <w:rFonts w:asciiTheme="majorBidi" w:hAnsiTheme="majorBidi" w:cs="Times New Roman"/>
          <w:sz w:val="24"/>
          <w:szCs w:val="24"/>
        </w:rPr>
      </w:pPr>
      <w:r>
        <w:rPr>
          <w:rFonts w:asciiTheme="majorBidi" w:hAnsiTheme="majorBidi" w:cs="Times New Roman"/>
          <w:sz w:val="24"/>
          <w:szCs w:val="24"/>
        </w:rPr>
        <w:t xml:space="preserve">     </w:t>
      </w:r>
      <w:r w:rsidR="00034C57" w:rsidRPr="00D57764">
        <w:rPr>
          <w:rFonts w:asciiTheme="majorBidi" w:hAnsiTheme="majorBidi" w:cs="Times New Roman"/>
          <w:sz w:val="24"/>
          <w:szCs w:val="24"/>
        </w:rPr>
        <w:t>Le mécanisme exact de la réplication du VHC</w:t>
      </w:r>
      <w:r w:rsidR="002F4B74">
        <w:rPr>
          <w:rFonts w:asciiTheme="majorBidi" w:hAnsiTheme="majorBidi" w:cs="Times New Roman"/>
          <w:sz w:val="24"/>
          <w:szCs w:val="24"/>
        </w:rPr>
        <w:t xml:space="preserve"> </w:t>
      </w:r>
      <w:r w:rsidR="00034C57">
        <w:rPr>
          <w:rFonts w:ascii="Times New Roman" w:hAnsi="Times New Roman" w:cs="Times New Roman"/>
          <w:sz w:val="24"/>
          <w:szCs w:val="24"/>
        </w:rPr>
        <w:t>est encore largement méconnu</w:t>
      </w:r>
      <w:r w:rsidR="00034C57" w:rsidRPr="00D57764">
        <w:rPr>
          <w:rFonts w:asciiTheme="majorBidi" w:hAnsiTheme="majorBidi" w:cs="Times New Roman"/>
          <w:sz w:val="24"/>
          <w:szCs w:val="24"/>
        </w:rPr>
        <w:t>, mais un modèle a pu</w:t>
      </w:r>
      <w:r>
        <w:rPr>
          <w:rFonts w:asciiTheme="majorBidi" w:hAnsiTheme="majorBidi" w:cs="Times New Roman"/>
          <w:sz w:val="24"/>
          <w:szCs w:val="24"/>
        </w:rPr>
        <w:t xml:space="preserve"> </w:t>
      </w:r>
      <w:r w:rsidR="00034C57" w:rsidRPr="00D57764">
        <w:rPr>
          <w:rFonts w:asciiTheme="majorBidi" w:hAnsiTheme="majorBidi" w:cs="Times New Roman"/>
          <w:sz w:val="24"/>
          <w:szCs w:val="24"/>
        </w:rPr>
        <w:t>être proposé du fait des connaissances sur la réplication d’autres virus à ARN (alpha-,</w:t>
      </w:r>
      <w:r w:rsidR="002F4B74">
        <w:rPr>
          <w:rFonts w:asciiTheme="majorBidi" w:hAnsiTheme="majorBidi" w:cs="Times New Roman"/>
          <w:sz w:val="24"/>
          <w:szCs w:val="24"/>
        </w:rPr>
        <w:t xml:space="preserve"> </w:t>
      </w:r>
      <w:r w:rsidR="00034C57" w:rsidRPr="00D57764">
        <w:rPr>
          <w:rFonts w:asciiTheme="majorBidi" w:hAnsiTheme="majorBidi" w:cs="Times New Roman"/>
          <w:sz w:val="24"/>
          <w:szCs w:val="24"/>
        </w:rPr>
        <w:t>picorna-</w:t>
      </w:r>
      <w:r w:rsidR="00034C57">
        <w:rPr>
          <w:rFonts w:asciiTheme="majorBidi" w:hAnsiTheme="majorBidi" w:cs="Times New Roman"/>
          <w:sz w:val="24"/>
          <w:szCs w:val="24"/>
        </w:rPr>
        <w:t xml:space="preserve">, </w:t>
      </w:r>
      <w:r w:rsidR="00034C57" w:rsidRPr="00D57764">
        <w:rPr>
          <w:rFonts w:asciiTheme="majorBidi" w:hAnsiTheme="majorBidi" w:cs="Times New Roman"/>
          <w:sz w:val="24"/>
          <w:szCs w:val="24"/>
        </w:rPr>
        <w:t xml:space="preserve">flavi-, arteri-, rubi- ou bromovirus). </w:t>
      </w:r>
      <w:r w:rsidR="00034C57">
        <w:rPr>
          <w:rFonts w:ascii="Times New Roman" w:hAnsi="Times New Roman" w:cs="Times New Roman"/>
          <w:sz w:val="24"/>
          <w:szCs w:val="24"/>
        </w:rPr>
        <w:t xml:space="preserve">Cette étape du cycle viral entraîne un remaniement caractéristique des membranes cellulaires formant une plate-forme pour la réplication virale </w:t>
      </w:r>
      <w:r w:rsidR="00034C57" w:rsidRPr="003A745A">
        <w:rPr>
          <w:rFonts w:ascii="Times New Roman" w:hAnsi="Times New Roman" w:cs="Times New Roman"/>
          <w:b/>
          <w:bCs/>
          <w:sz w:val="24"/>
          <w:szCs w:val="24"/>
        </w:rPr>
        <w:t>:</w:t>
      </w:r>
      <w:r w:rsidR="002F4B74">
        <w:rPr>
          <w:rFonts w:ascii="Times New Roman" w:hAnsi="Times New Roman" w:cs="Times New Roman"/>
          <w:b/>
          <w:bCs/>
          <w:sz w:val="24"/>
          <w:szCs w:val="24"/>
        </w:rPr>
        <w:t xml:space="preserve"> </w:t>
      </w:r>
      <w:r w:rsidR="00034C57">
        <w:rPr>
          <w:rFonts w:ascii="Times New Roman" w:hAnsi="Times New Roman" w:cs="Times New Roman"/>
          <w:sz w:val="24"/>
          <w:szCs w:val="24"/>
        </w:rPr>
        <w:t>Le « membranous web »</w:t>
      </w:r>
      <w:r w:rsidR="00034C57" w:rsidRPr="00D57764">
        <w:rPr>
          <w:rFonts w:asciiTheme="majorBidi" w:hAnsiTheme="majorBidi" w:cs="Times New Roman"/>
          <w:sz w:val="24"/>
          <w:szCs w:val="24"/>
        </w:rPr>
        <w:t>, et serait réalisée par le complexe de réplication viral constitué deNS5B, NS5A, NS4B et NS3/4A</w:t>
      </w:r>
      <w:r w:rsidR="002F4B74">
        <w:rPr>
          <w:rFonts w:asciiTheme="majorBidi" w:hAnsiTheme="majorBidi" w:cs="Times New Roman"/>
          <w:sz w:val="24"/>
          <w:szCs w:val="24"/>
        </w:rPr>
        <w:t xml:space="preserve"> </w:t>
      </w:r>
      <w:r w:rsidR="00034C57" w:rsidRPr="00F921E8">
        <w:rPr>
          <w:rFonts w:asciiTheme="majorBidi" w:hAnsiTheme="majorBidi" w:cs="Times New Roman"/>
          <w:b/>
          <w:bCs/>
          <w:sz w:val="24"/>
          <w:szCs w:val="24"/>
        </w:rPr>
        <w:t>(Walic, 2013) (Depla, 2011).</w:t>
      </w:r>
    </w:p>
    <w:p w:rsidR="00034C57" w:rsidRDefault="00034C57" w:rsidP="00034C57">
      <w:pPr>
        <w:autoSpaceDE w:val="0"/>
        <w:autoSpaceDN w:val="0"/>
        <w:adjustRightInd w:val="0"/>
        <w:spacing w:after="0" w:line="360" w:lineRule="auto"/>
        <w:ind w:firstLine="708"/>
        <w:jc w:val="both"/>
        <w:rPr>
          <w:rFonts w:asciiTheme="majorBidi" w:hAnsiTheme="majorBidi" w:cs="Times New Roman"/>
          <w:b/>
          <w:bCs/>
          <w:sz w:val="24"/>
          <w:szCs w:val="24"/>
        </w:rPr>
      </w:pPr>
      <w:r w:rsidRPr="00A4394E">
        <w:rPr>
          <w:rFonts w:asciiTheme="majorBidi" w:hAnsiTheme="majorBidi" w:cs="Times New Roman"/>
          <w:sz w:val="24"/>
          <w:szCs w:val="24"/>
        </w:rPr>
        <w:t xml:space="preserve">La réplication de l’ARN viral est sous la dépendance du complexe de réplication constitué par </w:t>
      </w:r>
      <w:r w:rsidRPr="00A4394E">
        <w:rPr>
          <w:rFonts w:asciiTheme="majorBidi" w:hAnsiTheme="majorBidi" w:cs="Times New Roman"/>
          <w:color w:val="231F20"/>
          <w:sz w:val="24"/>
          <w:szCs w:val="24"/>
        </w:rPr>
        <w:t>l’ARN polymérase dépendante de l’ARN (protéine NS5B) et les autres protéines non structurales (NS2, NS3, NS4A,</w:t>
      </w:r>
      <w:r w:rsidR="00ED3E7B">
        <w:rPr>
          <w:rFonts w:asciiTheme="majorBidi" w:hAnsiTheme="majorBidi" w:cs="Times New Roman"/>
          <w:color w:val="231F20"/>
          <w:sz w:val="24"/>
          <w:szCs w:val="24"/>
        </w:rPr>
        <w:t xml:space="preserve"> </w:t>
      </w:r>
      <w:r w:rsidRPr="00A4394E">
        <w:rPr>
          <w:rFonts w:asciiTheme="majorBidi" w:hAnsiTheme="majorBidi" w:cs="Times New Roman"/>
          <w:color w:val="231F20"/>
          <w:sz w:val="24"/>
          <w:szCs w:val="24"/>
        </w:rPr>
        <w:t>NS4B, NS5A)</w:t>
      </w:r>
      <w:r w:rsidRPr="00A4394E">
        <w:rPr>
          <w:rFonts w:asciiTheme="majorBidi" w:hAnsiTheme="majorBidi" w:cs="Times New Roman"/>
          <w:sz w:val="24"/>
          <w:szCs w:val="24"/>
        </w:rPr>
        <w:t xml:space="preserve">. La protéine NS3 permet le déroulement des structures secondaires complexes par son activité hélicase, et facilite ainsi l’amorçage et </w:t>
      </w:r>
      <w:r w:rsidRPr="00A4394E">
        <w:rPr>
          <w:rFonts w:asciiTheme="majorBidi" w:hAnsiTheme="majorBidi" w:cs="Times New Roman"/>
          <w:sz w:val="24"/>
          <w:szCs w:val="24"/>
        </w:rPr>
        <w:lastRenderedPageBreak/>
        <w:t>l’élongation de la matrice ARN</w:t>
      </w:r>
      <w:r w:rsidR="00ED3E7B">
        <w:rPr>
          <w:rFonts w:asciiTheme="majorBidi" w:hAnsiTheme="majorBidi" w:cs="Times New Roman"/>
          <w:sz w:val="24"/>
          <w:szCs w:val="24"/>
        </w:rPr>
        <w:t xml:space="preserve"> </w:t>
      </w:r>
      <w:r w:rsidRPr="00F921E8">
        <w:rPr>
          <w:rFonts w:asciiTheme="majorBidi" w:hAnsiTheme="majorBidi" w:cs="Times New Roman"/>
          <w:b/>
          <w:bCs/>
          <w:sz w:val="24"/>
          <w:szCs w:val="24"/>
        </w:rPr>
        <w:t xml:space="preserve">(Zidani, 2011). </w:t>
      </w:r>
      <w:r w:rsidRPr="00A4394E">
        <w:rPr>
          <w:rFonts w:asciiTheme="majorBidi" w:hAnsiTheme="majorBidi" w:cs="Times New Roman"/>
          <w:color w:val="231F20"/>
          <w:sz w:val="24"/>
          <w:szCs w:val="24"/>
        </w:rPr>
        <w:t>L’ARN polymérase (NS5B) synthétise un brin d’ARN négatif à partir du génome, qui sert ensuite de matrice pour la synthèse de nombreux brins d’ARN positifs qui seront en capsides et enveloppés pour devenir les génomes des</w:t>
      </w:r>
      <w:r w:rsidR="00ED3E7B">
        <w:rPr>
          <w:rFonts w:asciiTheme="majorBidi" w:hAnsiTheme="majorBidi" w:cs="Times New Roman"/>
          <w:color w:val="231F20"/>
          <w:sz w:val="24"/>
          <w:szCs w:val="24"/>
        </w:rPr>
        <w:t xml:space="preserve"> </w:t>
      </w:r>
      <w:r w:rsidRPr="00A4394E">
        <w:rPr>
          <w:rFonts w:asciiTheme="majorBidi" w:hAnsiTheme="majorBidi" w:cs="Times New Roman"/>
          <w:color w:val="231F20"/>
          <w:sz w:val="24"/>
          <w:szCs w:val="24"/>
        </w:rPr>
        <w:t xml:space="preserve">particules virales néoformées ou serviront de nouveaux messagers pour la synthèse des protéines virales </w:t>
      </w:r>
      <w:r w:rsidRPr="002F4B74">
        <w:rPr>
          <w:rFonts w:asciiTheme="majorBidi" w:hAnsiTheme="majorBidi" w:cs="Times New Roman"/>
          <w:b/>
          <w:bCs/>
          <w:sz w:val="24"/>
          <w:szCs w:val="24"/>
        </w:rPr>
        <w:t>(</w:t>
      </w:r>
      <w:r w:rsidRPr="002F4B74">
        <w:rPr>
          <w:rFonts w:asciiTheme="majorBidi" w:eastAsia="TarzanaNarrowBold" w:hAnsiTheme="majorBidi" w:cs="Times New Roman"/>
          <w:b/>
          <w:bCs/>
          <w:sz w:val="24"/>
          <w:szCs w:val="24"/>
        </w:rPr>
        <w:t>Pawlotsky, 2002)</w:t>
      </w:r>
      <w:r w:rsidRPr="002F4B74">
        <w:rPr>
          <w:rFonts w:asciiTheme="majorBidi" w:hAnsiTheme="majorBidi" w:cs="Times New Roman"/>
          <w:b/>
          <w:bCs/>
          <w:sz w:val="24"/>
          <w:szCs w:val="24"/>
        </w:rPr>
        <w:t>.</w:t>
      </w:r>
    </w:p>
    <w:p w:rsidR="00034C57" w:rsidRPr="00A4394E" w:rsidRDefault="00ED3E7B" w:rsidP="00ED3E7B">
      <w:pPr>
        <w:autoSpaceDE w:val="0"/>
        <w:autoSpaceDN w:val="0"/>
        <w:adjustRightInd w:val="0"/>
        <w:spacing w:after="0" w:line="360" w:lineRule="auto"/>
        <w:ind w:firstLine="360"/>
        <w:jc w:val="both"/>
        <w:rPr>
          <w:rFonts w:asciiTheme="majorBidi" w:hAnsiTheme="majorBidi" w:cs="Times New Roman"/>
          <w:color w:val="231F20"/>
          <w:sz w:val="24"/>
          <w:szCs w:val="24"/>
        </w:rPr>
      </w:pPr>
      <w:r>
        <w:rPr>
          <w:rFonts w:asciiTheme="majorBidi" w:hAnsiTheme="majorBidi" w:cs="Times New Roman"/>
          <w:sz w:val="24"/>
          <w:szCs w:val="24"/>
        </w:rPr>
        <w:t xml:space="preserve"> </w:t>
      </w:r>
      <w:r w:rsidR="00034C57" w:rsidRPr="00A4394E">
        <w:rPr>
          <w:rFonts w:asciiTheme="majorBidi" w:hAnsiTheme="majorBidi" w:cs="Times New Roman"/>
          <w:sz w:val="24"/>
          <w:szCs w:val="24"/>
        </w:rPr>
        <w:t xml:space="preserve">A côté de ces protéines virales, des protéines cellulaires sont probablement impliquées dans ce processus de réplication. Le PTB (polypyrimidine tract bindingprotein) qui se fixe à la région 3`NC est un des candidats. La GAPDH (glyceraldéhyde-3-phosphate déshydrogénase) est capable de se fixer sur la région poly U/UC située sur la portion médiane de la région 3`NC </w:t>
      </w:r>
      <w:r w:rsidR="00034C57" w:rsidRPr="00F921E8">
        <w:rPr>
          <w:rFonts w:asciiTheme="majorBidi" w:hAnsiTheme="majorBidi" w:cs="Times New Roman"/>
          <w:b/>
          <w:bCs/>
          <w:sz w:val="24"/>
          <w:szCs w:val="24"/>
        </w:rPr>
        <w:t>(Zidani, 2011).</w:t>
      </w:r>
      <w:r>
        <w:rPr>
          <w:rFonts w:asciiTheme="majorBidi" w:hAnsiTheme="majorBidi" w:cs="Times New Roman"/>
          <w:b/>
          <w:bCs/>
          <w:sz w:val="24"/>
          <w:szCs w:val="24"/>
        </w:rPr>
        <w:t xml:space="preserve"> </w:t>
      </w:r>
      <w:r w:rsidR="00034C57" w:rsidRPr="00A4394E">
        <w:rPr>
          <w:rFonts w:asciiTheme="majorBidi" w:hAnsiTheme="majorBidi" w:cs="Times New Roman"/>
          <w:sz w:val="24"/>
          <w:szCs w:val="24"/>
        </w:rPr>
        <w:t xml:space="preserve">Il est important de noter que le complexe de réplication aurait un rôle protecteur contre les RNases et les protéases </w:t>
      </w:r>
      <w:r w:rsidR="00034C57" w:rsidRPr="00F921E8">
        <w:rPr>
          <w:rFonts w:asciiTheme="majorBidi" w:hAnsiTheme="majorBidi" w:cs="Times New Roman"/>
          <w:b/>
          <w:bCs/>
          <w:sz w:val="24"/>
          <w:szCs w:val="24"/>
        </w:rPr>
        <w:t>(Suzuki et al. 2007).</w:t>
      </w:r>
    </w:p>
    <w:p w:rsidR="00034C57" w:rsidRPr="00D57764" w:rsidRDefault="00034C57" w:rsidP="00034C57">
      <w:pPr>
        <w:autoSpaceDE w:val="0"/>
        <w:autoSpaceDN w:val="0"/>
        <w:adjustRightInd w:val="0"/>
        <w:spacing w:after="0" w:line="360" w:lineRule="auto"/>
        <w:jc w:val="both"/>
        <w:rPr>
          <w:rFonts w:asciiTheme="majorBidi" w:hAnsiTheme="majorBidi" w:cs="Times New Roman"/>
          <w:sz w:val="24"/>
          <w:szCs w:val="24"/>
        </w:rPr>
      </w:pPr>
    </w:p>
    <w:p w:rsidR="00034C57" w:rsidRPr="00C53CD2" w:rsidRDefault="00034C57" w:rsidP="00034C57">
      <w:pPr>
        <w:pStyle w:val="Titre3"/>
        <w:numPr>
          <w:ilvl w:val="1"/>
          <w:numId w:val="1"/>
        </w:numPr>
        <w:spacing w:before="0" w:line="360" w:lineRule="auto"/>
        <w:jc w:val="both"/>
        <w:rPr>
          <w:rFonts w:asciiTheme="majorBidi" w:hAnsiTheme="majorBidi"/>
          <w:i/>
          <w:iCs/>
          <w:color w:val="auto"/>
          <w:sz w:val="24"/>
          <w:szCs w:val="24"/>
          <w:lang w:eastAsia="fr-FR"/>
        </w:rPr>
      </w:pPr>
      <w:r w:rsidRPr="00C53CD2">
        <w:rPr>
          <w:rFonts w:asciiTheme="majorBidi" w:hAnsiTheme="majorBidi"/>
          <w:i/>
          <w:iCs/>
          <w:color w:val="auto"/>
          <w:sz w:val="24"/>
          <w:szCs w:val="24"/>
          <w:lang w:eastAsia="fr-FR"/>
        </w:rPr>
        <w:t>Assemblage et sécrétion des virions</w:t>
      </w:r>
    </w:p>
    <w:p w:rsidR="00034C57" w:rsidRDefault="00ED3E7B" w:rsidP="00ED3E7B">
      <w:pPr>
        <w:spacing w:line="360" w:lineRule="auto"/>
        <w:ind w:firstLine="360"/>
        <w:jc w:val="both"/>
        <w:rPr>
          <w:rFonts w:asciiTheme="majorBidi" w:hAnsiTheme="majorBidi" w:cs="Times New Roman"/>
          <w:sz w:val="24"/>
          <w:szCs w:val="24"/>
        </w:rPr>
      </w:pPr>
      <w:r>
        <w:rPr>
          <w:rFonts w:ascii="Times New Roman" w:hAnsi="Times New Roman" w:cs="Times New Roman"/>
          <w:sz w:val="24"/>
          <w:szCs w:val="24"/>
        </w:rPr>
        <w:t xml:space="preserve">   </w:t>
      </w:r>
      <w:r w:rsidR="00034C57" w:rsidRPr="00DE3702">
        <w:rPr>
          <w:rFonts w:ascii="Times New Roman" w:hAnsi="Times New Roman" w:cs="Times New Roman"/>
          <w:sz w:val="24"/>
          <w:szCs w:val="24"/>
        </w:rPr>
        <w:t>L’étape de l’assemblage des virions e</w:t>
      </w:r>
      <w:r w:rsidR="00034C57">
        <w:rPr>
          <w:rFonts w:ascii="Times New Roman" w:hAnsi="Times New Roman" w:cs="Times New Roman"/>
          <w:sz w:val="24"/>
          <w:szCs w:val="24"/>
        </w:rPr>
        <w:t>t leur libération, implique les protéines  de capside qui s’oligomériseraient et s’associeraient aux brins d’ARN positifs</w:t>
      </w:r>
      <w:r w:rsidR="00034C57" w:rsidRPr="00DE3702">
        <w:rPr>
          <w:rFonts w:ascii="Times New Roman" w:hAnsi="Times New Roman" w:cs="Times New Roman"/>
          <w:sz w:val="24"/>
          <w:szCs w:val="24"/>
        </w:rPr>
        <w:t xml:space="preserve"> néo -</w:t>
      </w:r>
      <w:r w:rsidR="00034C57">
        <w:rPr>
          <w:rFonts w:ascii="Times New Roman" w:hAnsi="Times New Roman" w:cs="Times New Roman"/>
          <w:sz w:val="24"/>
          <w:szCs w:val="24"/>
        </w:rPr>
        <w:t xml:space="preserve">synthétisés, réprimant ainsi la réplication et la traduction. Les nucléocapsides </w:t>
      </w:r>
      <w:r w:rsidR="00034C57" w:rsidRPr="00DE3702">
        <w:rPr>
          <w:rFonts w:ascii="Times New Roman" w:hAnsi="Times New Roman" w:cs="Times New Roman"/>
          <w:sz w:val="24"/>
          <w:szCs w:val="24"/>
        </w:rPr>
        <w:t>acqu</w:t>
      </w:r>
      <w:r w:rsidR="00034C57">
        <w:rPr>
          <w:rFonts w:ascii="Times New Roman" w:hAnsi="Times New Roman" w:cs="Times New Roman"/>
          <w:sz w:val="24"/>
          <w:szCs w:val="24"/>
        </w:rPr>
        <w:t>ièrent leur enveloppe en bourgeonnant depuis</w:t>
      </w:r>
      <w:r w:rsidR="00034C57" w:rsidRPr="00DE3702">
        <w:rPr>
          <w:rFonts w:ascii="Times New Roman" w:hAnsi="Times New Roman" w:cs="Times New Roman"/>
          <w:sz w:val="24"/>
          <w:szCs w:val="24"/>
        </w:rPr>
        <w:t xml:space="preserve"> le</w:t>
      </w:r>
      <w:r w:rsidR="00034C57">
        <w:rPr>
          <w:rFonts w:ascii="Times New Roman" w:hAnsi="Times New Roman" w:cs="Times New Roman"/>
          <w:sz w:val="24"/>
          <w:szCs w:val="24"/>
        </w:rPr>
        <w:t xml:space="preserve"> réticulum endoplasmique où les </w:t>
      </w:r>
      <w:r w:rsidR="00034C57" w:rsidRPr="00DE3702">
        <w:rPr>
          <w:rFonts w:ascii="Times New Roman" w:hAnsi="Times New Roman" w:cs="Times New Roman"/>
          <w:sz w:val="24"/>
          <w:szCs w:val="24"/>
        </w:rPr>
        <w:t>protéines E1 et E2 sont retenues</w:t>
      </w:r>
      <w:r>
        <w:rPr>
          <w:rFonts w:ascii="Times New Roman" w:hAnsi="Times New Roman" w:cs="Times New Roman"/>
          <w:sz w:val="24"/>
          <w:szCs w:val="24"/>
        </w:rPr>
        <w:t xml:space="preserve"> </w:t>
      </w:r>
      <w:r w:rsidR="00034C57">
        <w:rPr>
          <w:rFonts w:asciiTheme="majorBidi" w:hAnsiTheme="majorBidi" w:cs="Times New Roman"/>
          <w:b/>
          <w:bCs/>
          <w:sz w:val="24"/>
          <w:szCs w:val="24"/>
        </w:rPr>
        <w:t xml:space="preserve">(Zidani, 2011). </w:t>
      </w:r>
      <w:r w:rsidR="00034C57" w:rsidRPr="00AD159D">
        <w:rPr>
          <w:rFonts w:ascii="Times New Roman" w:hAnsi="Times New Roman" w:cs="Times New Roman"/>
          <w:sz w:val="24"/>
          <w:szCs w:val="24"/>
        </w:rPr>
        <w:t xml:space="preserve">La sécrétion des </w:t>
      </w:r>
      <w:r w:rsidR="00034C57">
        <w:rPr>
          <w:rFonts w:ascii="Times New Roman" w:hAnsi="Times New Roman" w:cs="Times New Roman"/>
          <w:sz w:val="24"/>
          <w:szCs w:val="24"/>
        </w:rPr>
        <w:t>virions se ferait par la voie classique de sécrétion. Le</w:t>
      </w:r>
      <w:r w:rsidR="00034C57" w:rsidRPr="00AD159D">
        <w:rPr>
          <w:rFonts w:ascii="Times New Roman" w:hAnsi="Times New Roman" w:cs="Times New Roman"/>
          <w:sz w:val="24"/>
          <w:szCs w:val="24"/>
        </w:rPr>
        <w:t xml:space="preserve"> virus traverserait le réticulum, s</w:t>
      </w:r>
      <w:r w:rsidR="00034C57">
        <w:rPr>
          <w:rFonts w:ascii="Times New Roman" w:hAnsi="Times New Roman" w:cs="Times New Roman"/>
          <w:sz w:val="24"/>
          <w:szCs w:val="24"/>
        </w:rPr>
        <w:t>erait transporté vers le golgi</w:t>
      </w:r>
      <w:r w:rsidR="00034C57" w:rsidRPr="00AD159D">
        <w:rPr>
          <w:rFonts w:ascii="Times New Roman" w:hAnsi="Times New Roman" w:cs="Times New Roman"/>
          <w:sz w:val="24"/>
          <w:szCs w:val="24"/>
        </w:rPr>
        <w:t xml:space="preserve"> puis vers la membrane plasmique pour être libéré dans le milieu extracellulaire</w:t>
      </w:r>
      <w:r>
        <w:rPr>
          <w:rFonts w:ascii="Times New Roman" w:hAnsi="Times New Roman" w:cs="Times New Roman"/>
          <w:sz w:val="24"/>
          <w:szCs w:val="24"/>
        </w:rPr>
        <w:t xml:space="preserve"> </w:t>
      </w:r>
      <w:r w:rsidR="00034C57">
        <w:rPr>
          <w:rFonts w:asciiTheme="majorBidi" w:hAnsiTheme="majorBidi" w:cs="Times New Roman"/>
          <w:b/>
          <w:bCs/>
          <w:sz w:val="24"/>
          <w:szCs w:val="24"/>
        </w:rPr>
        <w:t>(Xavier, 2009).</w:t>
      </w:r>
    </w:p>
    <w:p w:rsidR="00034C57" w:rsidRDefault="00ED3E7B" w:rsidP="00034C57">
      <w:pPr>
        <w:pStyle w:val="Default"/>
        <w:numPr>
          <w:ilvl w:val="0"/>
          <w:numId w:val="1"/>
        </w:numPr>
        <w:tabs>
          <w:tab w:val="center" w:pos="4960"/>
        </w:tabs>
        <w:spacing w:line="360" w:lineRule="auto"/>
        <w:jc w:val="both"/>
        <w:rPr>
          <w:b/>
          <w:iCs/>
          <w:color w:val="auto"/>
        </w:rPr>
      </w:pPr>
      <w:r>
        <w:rPr>
          <w:b/>
          <w:iCs/>
          <w:color w:val="auto"/>
        </w:rPr>
        <w:t>La variabilité génomique </w:t>
      </w:r>
    </w:p>
    <w:p w:rsidR="00034C57" w:rsidRPr="006175E0" w:rsidRDefault="00034C57" w:rsidP="00034C57">
      <w:pPr>
        <w:pStyle w:val="Default"/>
        <w:tabs>
          <w:tab w:val="center" w:pos="4960"/>
        </w:tabs>
        <w:spacing w:line="360" w:lineRule="auto"/>
        <w:jc w:val="both"/>
        <w:rPr>
          <w:b/>
          <w:iCs/>
          <w:color w:val="auto"/>
        </w:rPr>
      </w:pPr>
      <w:r w:rsidRPr="006175E0">
        <w:rPr>
          <w:rFonts w:asciiTheme="majorBidi" w:hAnsiTheme="majorBidi"/>
        </w:rPr>
        <w:t xml:space="preserve"> </w:t>
      </w:r>
      <w:r w:rsidR="00ED3E7B">
        <w:rPr>
          <w:rFonts w:asciiTheme="majorBidi" w:hAnsiTheme="majorBidi"/>
        </w:rPr>
        <w:tab/>
        <w:t xml:space="preserve">          </w:t>
      </w:r>
      <w:r w:rsidRPr="006175E0">
        <w:rPr>
          <w:rFonts w:asciiTheme="majorBidi" w:hAnsiTheme="majorBidi"/>
        </w:rPr>
        <w:t>Le génome du  VHC, comme tous les virus ARN, est très variable. Cette variabilité est liée aux erreurs aléatoires de l’ARN polymérase ARN dépendante (NS5B) dépourvue d’activité de relecture (proof Reading),</w:t>
      </w:r>
      <w:r w:rsidRPr="006175E0">
        <w:rPr>
          <w:rFonts w:asciiTheme="majorBidi" w:hAnsiTheme="majorBidi"/>
          <w:color w:val="231F20"/>
        </w:rPr>
        <w:t xml:space="preserve"> Celle-ci commet en effet des erreurs au cours de la réplication, erreurs dont la fréquence est de l’ordre de 10</w:t>
      </w:r>
      <w:r w:rsidRPr="00C53CD2">
        <w:rPr>
          <w:rFonts w:asciiTheme="majorBidi" w:hAnsiTheme="majorBidi"/>
          <w:color w:val="231F20"/>
          <w:vertAlign w:val="superscript"/>
        </w:rPr>
        <w:t>-4</w:t>
      </w:r>
      <w:r w:rsidRPr="006175E0">
        <w:rPr>
          <w:rFonts w:asciiTheme="majorBidi" w:hAnsiTheme="majorBidi"/>
          <w:color w:val="231F20"/>
        </w:rPr>
        <w:t xml:space="preserve"> à 10</w:t>
      </w:r>
      <w:r w:rsidRPr="00C53CD2">
        <w:rPr>
          <w:rFonts w:asciiTheme="majorBidi" w:hAnsiTheme="majorBidi"/>
          <w:color w:val="231F20"/>
          <w:vertAlign w:val="superscript"/>
        </w:rPr>
        <w:t>-5</w:t>
      </w:r>
      <w:r w:rsidRPr="006175E0">
        <w:rPr>
          <w:rFonts w:asciiTheme="majorBidi" w:hAnsiTheme="majorBidi"/>
          <w:color w:val="231F20"/>
        </w:rPr>
        <w:t xml:space="preserve"> par position nucléotidique </w:t>
      </w:r>
      <w:r w:rsidRPr="00ED3E7B">
        <w:rPr>
          <w:rFonts w:asciiTheme="majorBidi" w:hAnsiTheme="majorBidi"/>
          <w:b/>
          <w:bCs/>
          <w:color w:val="auto"/>
        </w:rPr>
        <w:t>(</w:t>
      </w:r>
      <w:r w:rsidRPr="00ED3E7B">
        <w:rPr>
          <w:rFonts w:asciiTheme="majorBidi" w:eastAsia="TarzanaNarrowBold" w:hAnsiTheme="majorBidi"/>
          <w:b/>
          <w:bCs/>
          <w:color w:val="auto"/>
        </w:rPr>
        <w:t>Pawlotsky, 2002)</w:t>
      </w:r>
      <w:r w:rsidRPr="00ED3E7B">
        <w:rPr>
          <w:rFonts w:asciiTheme="majorBidi" w:hAnsiTheme="majorBidi"/>
          <w:b/>
          <w:bCs/>
          <w:color w:val="auto"/>
        </w:rPr>
        <w:t>.</w:t>
      </w:r>
      <w:r w:rsidRPr="006175E0">
        <w:rPr>
          <w:rFonts w:asciiTheme="majorBidi" w:hAnsiTheme="majorBidi"/>
          <w:b/>
          <w:bCs/>
          <w:color w:val="231F20"/>
        </w:rPr>
        <w:t xml:space="preserve"> </w:t>
      </w:r>
      <w:r w:rsidRPr="006175E0">
        <w:t xml:space="preserve">Ces erreurs sont à l’origine de mutations qui peuvent s’observer sur la totalité du génome. Toutefois, la région 5’NC est très conservée. L’accumulation des mutations au cours du temps, la sélection des mutants les mieux adaptés à l’environnement et leur transmission au sein des populations, ont conduit à l’émergence des principaux types de VHC </w:t>
      </w:r>
      <w:r w:rsidRPr="006175E0">
        <w:rPr>
          <w:b/>
          <w:bCs/>
        </w:rPr>
        <w:t>(Zeba, 2009</w:t>
      </w:r>
      <w:r w:rsidRPr="006175E0">
        <w:rPr>
          <w:b/>
          <w:bCs/>
          <w:sz w:val="28"/>
          <w:szCs w:val="28"/>
        </w:rPr>
        <w:t>)</w:t>
      </w:r>
      <w:r w:rsidRPr="006175E0">
        <w:rPr>
          <w:b/>
          <w:bCs/>
        </w:rPr>
        <w:t>.</w:t>
      </w:r>
    </w:p>
    <w:p w:rsidR="00034C57" w:rsidRPr="00F921E8" w:rsidRDefault="002F4B74" w:rsidP="002F4B74">
      <w:pPr>
        <w:autoSpaceDE w:val="0"/>
        <w:autoSpaceDN w:val="0"/>
        <w:adjustRightInd w:val="0"/>
        <w:spacing w:after="0" w:line="360" w:lineRule="auto"/>
        <w:jc w:val="both"/>
        <w:rPr>
          <w:rFonts w:asciiTheme="majorBidi" w:hAnsiTheme="majorBidi" w:cs="Times New Roman"/>
          <w:b/>
          <w:bCs/>
          <w:color w:val="231F20"/>
          <w:sz w:val="24"/>
          <w:szCs w:val="24"/>
        </w:rPr>
      </w:pPr>
      <w:r>
        <w:rPr>
          <w:rFonts w:asciiTheme="majorBidi" w:hAnsiTheme="majorBidi" w:cs="Times New Roman"/>
          <w:color w:val="000000"/>
          <w:sz w:val="24"/>
          <w:szCs w:val="24"/>
        </w:rPr>
        <w:t xml:space="preserve">      </w:t>
      </w:r>
      <w:r w:rsidR="00034C57" w:rsidRPr="00ED4CD7">
        <w:rPr>
          <w:rFonts w:asciiTheme="majorBidi" w:hAnsiTheme="majorBidi" w:cs="Times New Roman"/>
          <w:color w:val="000000"/>
          <w:sz w:val="24"/>
          <w:szCs w:val="24"/>
        </w:rPr>
        <w:t>Cette variabilité se traduit</w:t>
      </w:r>
      <w:r w:rsidR="00034C57">
        <w:rPr>
          <w:rFonts w:asciiTheme="majorBidi" w:hAnsiTheme="majorBidi" w:cs="Times New Roman"/>
          <w:color w:val="000000"/>
          <w:sz w:val="24"/>
          <w:szCs w:val="24"/>
        </w:rPr>
        <w:t xml:space="preserve"> par </w:t>
      </w:r>
      <w:r w:rsidR="00034C57" w:rsidRPr="00BD2B9A">
        <w:rPr>
          <w:rFonts w:asciiTheme="majorBidi" w:hAnsiTheme="majorBidi" w:cs="Times New Roman"/>
          <w:color w:val="000000"/>
          <w:sz w:val="24"/>
          <w:szCs w:val="24"/>
        </w:rPr>
        <w:t xml:space="preserve">deux  </w:t>
      </w:r>
      <w:r w:rsidR="00034C57" w:rsidRPr="00300FD0">
        <w:rPr>
          <w:rFonts w:asciiTheme="majorBidi" w:hAnsiTheme="majorBidi" w:cs="Times New Roman"/>
          <w:sz w:val="24"/>
          <w:szCs w:val="24"/>
        </w:rPr>
        <w:t>conséquences</w:t>
      </w:r>
      <w:r w:rsidR="00034C57" w:rsidRPr="00300FD0">
        <w:rPr>
          <w:rFonts w:asciiTheme="majorBidi" w:hAnsiTheme="majorBidi" w:cs="Times New Roman"/>
        </w:rPr>
        <w:t>.</w:t>
      </w:r>
      <w:r w:rsidR="00034C57">
        <w:rPr>
          <w:rFonts w:asciiTheme="majorBidi" w:hAnsiTheme="majorBidi" w:cs="Times New Roman"/>
          <w:color w:val="000000"/>
          <w:sz w:val="24"/>
          <w:szCs w:val="24"/>
        </w:rPr>
        <w:t xml:space="preserve"> A</w:t>
      </w:r>
      <w:r w:rsidR="00034C57" w:rsidRPr="00ED4CD7">
        <w:rPr>
          <w:rFonts w:asciiTheme="majorBidi" w:hAnsiTheme="majorBidi" w:cs="Times New Roman"/>
          <w:color w:val="000000"/>
          <w:sz w:val="24"/>
          <w:szCs w:val="24"/>
        </w:rPr>
        <w:t>u niveau de l’épidémiologie mondiale, avec l’évolution dans le temps et en fonction des voies de transmission, il existe une individualisation de différents génotypes.</w:t>
      </w:r>
      <w:r w:rsidR="00034C57" w:rsidRPr="00ED4CD7">
        <w:rPr>
          <w:rFonts w:asciiTheme="majorBidi" w:hAnsiTheme="majorBidi" w:cs="Times New Roman"/>
          <w:color w:val="231F20"/>
          <w:sz w:val="24"/>
          <w:szCs w:val="24"/>
        </w:rPr>
        <w:t xml:space="preserve"> L’analyse phylogénique des souches de VHC isolées dans différentes régions du monde a permis de définir six groupes principaux numérotés de 1 à 6,</w:t>
      </w:r>
      <w:r>
        <w:rPr>
          <w:rFonts w:asciiTheme="majorBidi" w:hAnsiTheme="majorBidi" w:cs="Times New Roman"/>
          <w:color w:val="231F20"/>
          <w:sz w:val="24"/>
          <w:szCs w:val="24"/>
        </w:rPr>
        <w:t xml:space="preserve"> </w:t>
      </w:r>
      <w:r w:rsidR="00034C57" w:rsidRPr="00321050">
        <w:rPr>
          <w:rFonts w:ascii="Times New Roman" w:hAnsi="Times New Roman" w:cs="Times New Roman"/>
          <w:color w:val="000000"/>
          <w:sz w:val="24"/>
          <w:szCs w:val="24"/>
        </w:rPr>
        <w:t>diffèrent dans leurs séquen</w:t>
      </w:r>
      <w:r w:rsidR="00034C57">
        <w:rPr>
          <w:rFonts w:ascii="Times New Roman" w:hAnsi="Times New Roman" w:cs="Times New Roman"/>
          <w:color w:val="000000"/>
          <w:sz w:val="24"/>
          <w:szCs w:val="24"/>
        </w:rPr>
        <w:t xml:space="preserve">ces nucléotidiques de 30 à 35%, </w:t>
      </w:r>
      <w:r w:rsidR="00034C57" w:rsidRPr="00ED4CD7">
        <w:rPr>
          <w:rFonts w:asciiTheme="majorBidi" w:hAnsiTheme="majorBidi" w:cs="Times New Roman"/>
          <w:color w:val="231F20"/>
          <w:sz w:val="24"/>
          <w:szCs w:val="24"/>
        </w:rPr>
        <w:t xml:space="preserve"> et un grand nombre de « sous-types </w:t>
      </w:r>
      <w:r w:rsidR="00034C57" w:rsidRPr="00ED4CD7">
        <w:rPr>
          <w:rFonts w:asciiTheme="majorBidi" w:hAnsiTheme="majorBidi" w:cs="Times New Roman"/>
          <w:color w:val="231F20"/>
          <w:sz w:val="24"/>
          <w:szCs w:val="24"/>
        </w:rPr>
        <w:lastRenderedPageBreak/>
        <w:t>» au sein de chaque type, identifiés par des lettres minuscules</w:t>
      </w:r>
      <w:r w:rsidR="00034C57" w:rsidRPr="00321050">
        <w:rPr>
          <w:rFonts w:ascii="Times New Roman" w:hAnsi="Times New Roman" w:cs="Times New Roman"/>
          <w:color w:val="000000"/>
          <w:sz w:val="24"/>
          <w:szCs w:val="24"/>
        </w:rPr>
        <w:t>(a, b, c..) qui sont distribués de façon hétérogène à travers le monde</w:t>
      </w:r>
      <w:r w:rsidR="00034C57">
        <w:rPr>
          <w:rFonts w:ascii="Times New Roman" w:hAnsi="Times New Roman" w:cs="Times New Roman"/>
          <w:color w:val="000000"/>
          <w:sz w:val="24"/>
          <w:szCs w:val="24"/>
        </w:rPr>
        <w:t xml:space="preserve">. </w:t>
      </w:r>
      <w:r w:rsidR="00034C57">
        <w:rPr>
          <w:rFonts w:ascii="Times New Roman" w:hAnsi="Times New Roman" w:cs="Times New Roman"/>
          <w:sz w:val="24"/>
          <w:szCs w:val="24"/>
        </w:rPr>
        <w:t xml:space="preserve">Les types 1, 2 et 3 rendent compte de la majorité des infections par le virus C en Europe de l’Ouest et en Amérique du Nord. D’autres types, plus rares, sont plus localisés dans une région géographique précise. Le type 4 a été identifié avec une forte prévalence en Afrique Centrale, en Afrique du Nord et dans le Moyen Orient ; le type 5 est essentiellement limité aux populations d’Afrique du Sud, le type 6 au Sud-est asiatique </w:t>
      </w:r>
      <w:r w:rsidR="00034C57" w:rsidRPr="00F921E8">
        <w:rPr>
          <w:rFonts w:asciiTheme="majorBidi" w:hAnsiTheme="majorBidi" w:cs="Times New Roman"/>
          <w:b/>
          <w:bCs/>
          <w:color w:val="231F20"/>
          <w:sz w:val="24"/>
          <w:szCs w:val="24"/>
        </w:rPr>
        <w:t xml:space="preserve">(le </w:t>
      </w:r>
      <w:r w:rsidR="00034C57" w:rsidRPr="00F921E8">
        <w:rPr>
          <w:rFonts w:asciiTheme="majorBidi" w:hAnsiTheme="majorBidi" w:cs="Times New Roman"/>
          <w:b/>
          <w:bCs/>
          <w:sz w:val="24"/>
          <w:szCs w:val="24"/>
        </w:rPr>
        <w:t>menach, 2013) (</w:t>
      </w:r>
      <w:r w:rsidR="00034C57" w:rsidRPr="00F921E8">
        <w:rPr>
          <w:rFonts w:asciiTheme="majorBidi" w:eastAsia="TarzanaNarrowBold" w:hAnsiTheme="majorBidi" w:cs="Times New Roman"/>
          <w:b/>
          <w:bCs/>
          <w:sz w:val="24"/>
          <w:szCs w:val="24"/>
        </w:rPr>
        <w:t xml:space="preserve">Pawlotsky, 2002) </w:t>
      </w:r>
      <w:r w:rsidR="00034C57" w:rsidRPr="00F921E8">
        <w:rPr>
          <w:rFonts w:asciiTheme="majorBidi" w:hAnsiTheme="majorBidi" w:cs="Times New Roman"/>
          <w:b/>
          <w:bCs/>
          <w:sz w:val="24"/>
          <w:szCs w:val="24"/>
        </w:rPr>
        <w:t>(Zeba, 2009).</w:t>
      </w:r>
    </w:p>
    <w:p w:rsidR="00034C57" w:rsidRPr="006175E0" w:rsidRDefault="00034C57" w:rsidP="00034C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E7B">
        <w:rPr>
          <w:rFonts w:ascii="Times New Roman" w:hAnsi="Times New Roman" w:cs="Times New Roman"/>
          <w:sz w:val="24"/>
          <w:szCs w:val="24"/>
        </w:rPr>
        <w:t xml:space="preserve">       </w:t>
      </w:r>
      <w:r w:rsidRPr="005118A2">
        <w:rPr>
          <w:rFonts w:asciiTheme="majorBidi" w:hAnsiTheme="majorBidi" w:cs="Times New Roman"/>
          <w:sz w:val="24"/>
          <w:szCs w:val="24"/>
        </w:rPr>
        <w:t xml:space="preserve">La </w:t>
      </w:r>
      <w:r>
        <w:rPr>
          <w:rFonts w:asciiTheme="majorBidi" w:hAnsiTheme="majorBidi" w:cs="Times New Roman"/>
          <w:sz w:val="24"/>
          <w:szCs w:val="24"/>
        </w:rPr>
        <w:t>deux</w:t>
      </w:r>
      <w:r w:rsidRPr="005118A2">
        <w:rPr>
          <w:rFonts w:asciiTheme="majorBidi" w:hAnsiTheme="majorBidi" w:cs="Times New Roman"/>
          <w:sz w:val="24"/>
          <w:szCs w:val="24"/>
        </w:rPr>
        <w:t xml:space="preserve">ième conséquence est au niveau individuel. </w:t>
      </w:r>
      <w:r w:rsidRPr="005118A2">
        <w:rPr>
          <w:rFonts w:asciiTheme="majorBidi" w:hAnsiTheme="majorBidi" w:cs="Times New Roman"/>
          <w:color w:val="231F20"/>
          <w:sz w:val="24"/>
          <w:szCs w:val="24"/>
        </w:rPr>
        <w:t>Le VHC, circule chez chaque patient infecté sous la forme d’une quasi espèce virale, c’est-à-dire d’un mélange complexe et en</w:t>
      </w:r>
      <w:r w:rsidR="002F4B74">
        <w:rPr>
          <w:rFonts w:asciiTheme="majorBidi" w:hAnsiTheme="majorBidi" w:cs="Times New Roman"/>
          <w:color w:val="231F20"/>
          <w:sz w:val="24"/>
          <w:szCs w:val="24"/>
        </w:rPr>
        <w:t xml:space="preserve"> </w:t>
      </w:r>
      <w:r w:rsidRPr="005118A2">
        <w:rPr>
          <w:rFonts w:asciiTheme="majorBidi" w:hAnsiTheme="majorBidi" w:cs="Times New Roman"/>
          <w:color w:val="231F20"/>
          <w:sz w:val="24"/>
          <w:szCs w:val="24"/>
        </w:rPr>
        <w:t>équilibre instable de variant viraux génétiquement distincts mais apparentés, car tous dérivés du même inoculum</w:t>
      </w:r>
      <w:r w:rsidRPr="005118A2">
        <w:rPr>
          <w:rFonts w:asciiTheme="majorBidi" w:hAnsiTheme="majorBidi" w:cs="Times New Roman"/>
          <w:sz w:val="24"/>
          <w:szCs w:val="24"/>
        </w:rPr>
        <w:t>. Ces quasi-espèces confèrent aux virus une grande capacité d’adaptation, et peuvent avoir une implication dans la persistance virale ou la non-réponse aux traitements. Cette variabilité est également à l’origine de la résistance virologique aux nouveaux traitements</w:t>
      </w:r>
      <w:r>
        <w:rPr>
          <w:rFonts w:asciiTheme="majorBidi" w:hAnsiTheme="majorBidi" w:cs="Times New Roman"/>
          <w:sz w:val="24"/>
          <w:szCs w:val="24"/>
        </w:rPr>
        <w:t xml:space="preserve"> </w:t>
      </w:r>
      <w:r w:rsidRPr="002F4B74">
        <w:rPr>
          <w:rFonts w:asciiTheme="majorBidi" w:hAnsiTheme="majorBidi" w:cs="Times New Roman"/>
          <w:sz w:val="24"/>
          <w:szCs w:val="24"/>
        </w:rPr>
        <w:t>(</w:t>
      </w:r>
      <w:r w:rsidRPr="002F4B74">
        <w:rPr>
          <w:rFonts w:asciiTheme="majorBidi" w:eastAsia="TarzanaNarrowBold" w:hAnsiTheme="majorBidi" w:cs="Times New Roman"/>
          <w:b/>
          <w:bCs/>
          <w:sz w:val="24"/>
          <w:szCs w:val="24"/>
        </w:rPr>
        <w:t>Pawlotsky, 2002)</w:t>
      </w:r>
      <w:r w:rsidRPr="005118A2">
        <w:rPr>
          <w:rFonts w:asciiTheme="majorBidi" w:eastAsia="TarzanaNarrowBold" w:hAnsiTheme="majorBidi" w:cs="Times New Roman"/>
          <w:b/>
          <w:bCs/>
          <w:color w:val="231F20"/>
          <w:sz w:val="24"/>
          <w:szCs w:val="24"/>
        </w:rPr>
        <w:t xml:space="preserve"> </w:t>
      </w:r>
      <w:r w:rsidRPr="005118A2">
        <w:rPr>
          <w:rFonts w:asciiTheme="majorBidi" w:hAnsiTheme="majorBidi" w:cs="Times New Roman"/>
          <w:b/>
          <w:bCs/>
          <w:sz w:val="24"/>
          <w:szCs w:val="24"/>
        </w:rPr>
        <w:t>(Le Ménach, 2013).</w:t>
      </w:r>
    </w:p>
    <w:p w:rsidR="00034C57" w:rsidRPr="005118A2" w:rsidRDefault="00034C57" w:rsidP="00034C57">
      <w:pPr>
        <w:autoSpaceDE w:val="0"/>
        <w:autoSpaceDN w:val="0"/>
        <w:adjustRightInd w:val="0"/>
        <w:spacing w:after="0" w:line="360" w:lineRule="auto"/>
        <w:jc w:val="both"/>
        <w:rPr>
          <w:rFonts w:asciiTheme="majorBidi" w:hAnsiTheme="majorBidi" w:cs="Times New Roman"/>
          <w:color w:val="231F20"/>
          <w:sz w:val="24"/>
          <w:szCs w:val="24"/>
        </w:rPr>
      </w:pPr>
    </w:p>
    <w:p w:rsidR="00034C57" w:rsidRDefault="00034C57" w:rsidP="00034C57">
      <w:pPr>
        <w:pStyle w:val="Default"/>
        <w:tabs>
          <w:tab w:val="center" w:pos="4960"/>
        </w:tabs>
        <w:spacing w:line="360" w:lineRule="auto"/>
        <w:jc w:val="both"/>
        <w:rPr>
          <w:rFonts w:ascii="Calibri" w:hAnsi="Calibri" w:cs="Calibri"/>
          <w:sz w:val="22"/>
          <w:szCs w:val="22"/>
        </w:rPr>
      </w:pPr>
      <w:r>
        <w:rPr>
          <w:rFonts w:ascii="Calibri" w:hAnsi="Calibri" w:cs="Calibri"/>
          <w:noProof/>
          <w:sz w:val="22"/>
          <w:szCs w:val="22"/>
          <w:lang w:eastAsia="fr-FR"/>
        </w:rPr>
        <w:drawing>
          <wp:inline distT="0" distB="0" distL="0" distR="0">
            <wp:extent cx="5915025" cy="3600450"/>
            <wp:effectExtent l="0" t="0" r="0" b="0"/>
            <wp:docPr id="5" name="Image 15" descr="Description : Description : 3c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Description : 3c24.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3600450"/>
                    </a:xfrm>
                    <a:prstGeom prst="rect">
                      <a:avLst/>
                    </a:prstGeom>
                    <a:noFill/>
                    <a:ln>
                      <a:noFill/>
                    </a:ln>
                  </pic:spPr>
                </pic:pic>
              </a:graphicData>
            </a:graphic>
          </wp:inline>
        </w:drawing>
      </w:r>
    </w:p>
    <w:p w:rsidR="00034C57" w:rsidRDefault="00034C57" w:rsidP="00034C57">
      <w:pPr>
        <w:pStyle w:val="Default"/>
        <w:tabs>
          <w:tab w:val="center" w:pos="4960"/>
        </w:tabs>
        <w:spacing w:line="360" w:lineRule="auto"/>
        <w:jc w:val="center"/>
        <w:rPr>
          <w:szCs w:val="22"/>
        </w:rPr>
      </w:pPr>
      <w:r w:rsidRPr="00DC7753">
        <w:rPr>
          <w:b/>
          <w:bCs/>
          <w:szCs w:val="22"/>
        </w:rPr>
        <w:t xml:space="preserve">Figure I.5.  </w:t>
      </w:r>
      <w:r w:rsidRPr="003A745A">
        <w:rPr>
          <w:szCs w:val="22"/>
        </w:rPr>
        <w:t>Distribution mondiale des génotypes viraux du VH</w:t>
      </w:r>
      <w:r>
        <w:rPr>
          <w:szCs w:val="22"/>
        </w:rPr>
        <w:t>C</w:t>
      </w:r>
    </w:p>
    <w:p w:rsidR="00034C57" w:rsidRPr="00A72FE8" w:rsidRDefault="00034C57" w:rsidP="00034C57">
      <w:pPr>
        <w:pStyle w:val="Default"/>
        <w:tabs>
          <w:tab w:val="center" w:pos="4960"/>
        </w:tabs>
        <w:spacing w:line="360" w:lineRule="auto"/>
        <w:jc w:val="center"/>
        <w:rPr>
          <w:rFonts w:asciiTheme="majorBidi" w:hAnsiTheme="majorBidi"/>
          <w:color w:val="auto"/>
          <w:sz w:val="18"/>
          <w:szCs w:val="18"/>
        </w:rPr>
      </w:pPr>
      <w:r w:rsidRPr="00A72FE8">
        <w:rPr>
          <w:rFonts w:asciiTheme="majorBidi" w:hAnsiTheme="majorBidi"/>
          <w:color w:val="auto"/>
          <w:sz w:val="18"/>
          <w:szCs w:val="18"/>
        </w:rPr>
        <w:t>(</w:t>
      </w:r>
      <w:hyperlink r:id="rId25" w:history="1">
        <w:r w:rsidRPr="00A72FE8">
          <w:rPr>
            <w:rStyle w:val="Lienhypertexte"/>
            <w:rFonts w:asciiTheme="majorBidi" w:hAnsiTheme="majorBidi"/>
            <w:color w:val="auto"/>
            <w:sz w:val="18"/>
            <w:szCs w:val="18"/>
          </w:rPr>
          <w:t>http://www.hepatites.net/index.php?name=PNphpBB2&amp;file=viewtopic&amp;t=23722</w:t>
        </w:r>
      </w:hyperlink>
      <w:r w:rsidRPr="00A72FE8">
        <w:rPr>
          <w:rFonts w:asciiTheme="majorBidi" w:hAnsiTheme="majorBidi"/>
          <w:color w:val="auto"/>
          <w:sz w:val="18"/>
          <w:szCs w:val="18"/>
        </w:rPr>
        <w:t>)</w:t>
      </w:r>
    </w:p>
    <w:p w:rsidR="00034C57" w:rsidRDefault="00034C57" w:rsidP="00034C57">
      <w:pPr>
        <w:pStyle w:val="Default"/>
        <w:tabs>
          <w:tab w:val="center" w:pos="4960"/>
        </w:tabs>
        <w:spacing w:line="360" w:lineRule="auto"/>
        <w:jc w:val="center"/>
        <w:rPr>
          <w:rFonts w:asciiTheme="majorBidi" w:hAnsiTheme="majorBidi"/>
          <w:color w:val="auto"/>
          <w:sz w:val="18"/>
          <w:szCs w:val="18"/>
        </w:rPr>
      </w:pPr>
    </w:p>
    <w:p w:rsidR="00034C57" w:rsidRDefault="00034C57" w:rsidP="00034C57">
      <w:pPr>
        <w:pStyle w:val="Default"/>
        <w:tabs>
          <w:tab w:val="center" w:pos="4960"/>
        </w:tabs>
        <w:spacing w:line="360" w:lineRule="auto"/>
        <w:jc w:val="center"/>
        <w:rPr>
          <w:rFonts w:asciiTheme="majorBidi" w:hAnsiTheme="majorBidi"/>
          <w:color w:val="auto"/>
          <w:sz w:val="18"/>
          <w:szCs w:val="18"/>
        </w:rPr>
      </w:pPr>
    </w:p>
    <w:p w:rsidR="00034C57" w:rsidRDefault="00034C57" w:rsidP="00034C57">
      <w:pPr>
        <w:pStyle w:val="Default"/>
        <w:tabs>
          <w:tab w:val="center" w:pos="4960"/>
        </w:tabs>
        <w:spacing w:line="360" w:lineRule="auto"/>
        <w:jc w:val="center"/>
        <w:rPr>
          <w:color w:val="auto"/>
          <w:szCs w:val="22"/>
        </w:rPr>
      </w:pPr>
    </w:p>
    <w:p w:rsidR="00034C57" w:rsidRDefault="00034C57" w:rsidP="00034C57">
      <w:pPr>
        <w:pStyle w:val="Default"/>
        <w:tabs>
          <w:tab w:val="center" w:pos="4960"/>
        </w:tabs>
        <w:spacing w:line="360" w:lineRule="auto"/>
        <w:jc w:val="center"/>
        <w:rPr>
          <w:color w:val="auto"/>
          <w:szCs w:val="22"/>
        </w:rPr>
      </w:pPr>
    </w:p>
    <w:p w:rsidR="00034C57" w:rsidRPr="00307333" w:rsidRDefault="00034C57" w:rsidP="00034C57">
      <w:pPr>
        <w:pStyle w:val="Default"/>
        <w:tabs>
          <w:tab w:val="center" w:pos="4960"/>
        </w:tabs>
        <w:spacing w:line="360" w:lineRule="auto"/>
        <w:jc w:val="center"/>
        <w:rPr>
          <w:color w:val="auto"/>
          <w:szCs w:val="22"/>
        </w:rPr>
      </w:pPr>
    </w:p>
    <w:p w:rsidR="00034C57" w:rsidRDefault="00034C57" w:rsidP="00034C57">
      <w:pPr>
        <w:pStyle w:val="Paragraphedeliste"/>
        <w:numPr>
          <w:ilvl w:val="0"/>
          <w:numId w:val="1"/>
        </w:numPr>
        <w:jc w:val="both"/>
        <w:rPr>
          <w:rFonts w:asciiTheme="majorBidi" w:hAnsiTheme="majorBidi" w:cs="Times New Roman"/>
          <w:b/>
          <w:bCs/>
          <w:sz w:val="24"/>
          <w:szCs w:val="24"/>
        </w:rPr>
      </w:pPr>
      <w:r w:rsidRPr="005E1072">
        <w:rPr>
          <w:rFonts w:asciiTheme="majorBidi" w:hAnsiTheme="majorBidi" w:cs="Times New Roman"/>
          <w:b/>
          <w:bCs/>
          <w:sz w:val="24"/>
          <w:szCs w:val="24"/>
        </w:rPr>
        <w:lastRenderedPageBreak/>
        <w:t xml:space="preserve">Epidémiologie de l’infection </w:t>
      </w:r>
    </w:p>
    <w:p w:rsidR="00034C57" w:rsidRPr="009816CD" w:rsidRDefault="00034C57" w:rsidP="00034C57">
      <w:pPr>
        <w:ind w:left="360"/>
        <w:jc w:val="both"/>
        <w:rPr>
          <w:rFonts w:asciiTheme="majorBidi" w:hAnsiTheme="majorBidi" w:cs="Times New Roman"/>
          <w:b/>
          <w:bCs/>
          <w:sz w:val="24"/>
          <w:szCs w:val="24"/>
        </w:rPr>
      </w:pPr>
      <w:r w:rsidRPr="004B6B1E">
        <w:rPr>
          <w:rFonts w:asciiTheme="majorBidi" w:hAnsiTheme="majorBidi" w:cs="Times New Roman"/>
          <w:b/>
          <w:bCs/>
          <w:sz w:val="24"/>
          <w:szCs w:val="24"/>
        </w:rPr>
        <w:t>6.1. Epidémiologie de l’infection dans le monde</w:t>
      </w:r>
    </w:p>
    <w:p w:rsidR="00034C57" w:rsidRPr="00E84A8A" w:rsidRDefault="00ED3E7B" w:rsidP="00ED3E7B">
      <w:pPr>
        <w:autoSpaceDE w:val="0"/>
        <w:autoSpaceDN w:val="0"/>
        <w:adjustRightInd w:val="0"/>
        <w:spacing w:after="0" w:line="360" w:lineRule="auto"/>
        <w:jc w:val="both"/>
        <w:rPr>
          <w:rFonts w:ascii="Times New Roman" w:hAnsi="Times New Roman" w:cs="Times New Roman"/>
          <w:sz w:val="24"/>
          <w:szCs w:val="24"/>
        </w:rPr>
      </w:pPr>
      <w:r>
        <w:rPr>
          <w:rFonts w:asciiTheme="majorBidi" w:hAnsiTheme="majorBidi" w:cs="Times New Roman"/>
          <w:sz w:val="24"/>
          <w:szCs w:val="24"/>
        </w:rPr>
        <w:t xml:space="preserve">                 </w:t>
      </w:r>
      <w:r w:rsidR="00034C57" w:rsidRPr="00E012F6">
        <w:rPr>
          <w:rFonts w:asciiTheme="majorBidi" w:hAnsiTheme="majorBidi" w:cs="Times New Roman"/>
          <w:sz w:val="24"/>
          <w:szCs w:val="24"/>
        </w:rPr>
        <w:t>L’infection par le virus de l’hépatite C (VHC) représente un problème majeur de santé publique, puisqu’elle concerne environ 3% de la population mondiale, soit 170 millions d’individus. La prévalence est cependant très variable selon les zones géographiques</w:t>
      </w:r>
      <w:r w:rsidR="00034C57">
        <w:rPr>
          <w:rFonts w:asciiTheme="majorBidi" w:hAnsiTheme="majorBidi" w:cs="Times New Roman"/>
          <w:sz w:val="24"/>
          <w:szCs w:val="24"/>
        </w:rPr>
        <w:t xml:space="preserve">. </w:t>
      </w:r>
      <w:r w:rsidR="00034C57">
        <w:rPr>
          <w:rFonts w:ascii="Times New Roman" w:hAnsi="Times New Roman" w:cs="Times New Roman"/>
          <w:sz w:val="24"/>
          <w:szCs w:val="24"/>
        </w:rPr>
        <w:t xml:space="preserve">On distingue ainsi trois zones : une zone d’endémicité élevée (prévalence supérieure ou égale à 2%) </w:t>
      </w:r>
      <w:r w:rsidR="00034C57">
        <w:rPr>
          <w:rFonts w:asciiTheme="majorBidi" w:hAnsiTheme="majorBidi" w:cs="Times New Roman"/>
          <w:sz w:val="24"/>
          <w:szCs w:val="24"/>
        </w:rPr>
        <w:t xml:space="preserve">dans les </w:t>
      </w:r>
      <w:r w:rsidR="00034C57">
        <w:rPr>
          <w:rFonts w:ascii="Times New Roman" w:hAnsi="Times New Roman" w:cs="Times New Roman"/>
          <w:sz w:val="24"/>
          <w:szCs w:val="24"/>
        </w:rPr>
        <w:t>pays d’Asie ou d’Afrique</w:t>
      </w:r>
      <w:r w:rsidR="00034C57" w:rsidRPr="00E012F6">
        <w:rPr>
          <w:rFonts w:asciiTheme="majorBidi" w:hAnsiTheme="majorBidi" w:cs="Times New Roman"/>
          <w:sz w:val="24"/>
          <w:szCs w:val="24"/>
        </w:rPr>
        <w:t>;</w:t>
      </w:r>
      <w:r w:rsidR="00034C57">
        <w:rPr>
          <w:rFonts w:ascii="Times New Roman" w:hAnsi="Times New Roman" w:cs="Times New Roman"/>
          <w:sz w:val="24"/>
          <w:szCs w:val="24"/>
        </w:rPr>
        <w:t>une zone d’endémicité faible (prévalence inférieure à 1%) dans les pays d’Europe du Nord dont</w:t>
      </w:r>
      <w:r w:rsidR="00034C57">
        <w:rPr>
          <w:rFonts w:asciiTheme="majorBidi" w:hAnsiTheme="majorBidi" w:cs="Times New Roman"/>
          <w:sz w:val="24"/>
          <w:szCs w:val="24"/>
        </w:rPr>
        <w:t xml:space="preserve"> ; </w:t>
      </w:r>
      <w:r w:rsidR="00034C57">
        <w:rPr>
          <w:rFonts w:ascii="Times New Roman" w:hAnsi="Times New Roman" w:cs="Times New Roman"/>
          <w:sz w:val="24"/>
          <w:szCs w:val="24"/>
        </w:rPr>
        <w:t xml:space="preserve">et une zone d’endémicité moyenne </w:t>
      </w:r>
      <w:r w:rsidR="00034C57" w:rsidRPr="000833E9">
        <w:rPr>
          <w:rFonts w:asciiTheme="majorBidi" w:hAnsiTheme="majorBidi" w:cs="Times New Roman"/>
          <w:b/>
          <w:bCs/>
          <w:sz w:val="24"/>
          <w:szCs w:val="24"/>
        </w:rPr>
        <w:t>(</w:t>
      </w:r>
      <w:r w:rsidR="00034C57">
        <w:rPr>
          <w:rFonts w:asciiTheme="majorBidi" w:hAnsiTheme="majorBidi" w:cs="Times New Roman"/>
          <w:b/>
          <w:bCs/>
          <w:sz w:val="24"/>
          <w:szCs w:val="24"/>
        </w:rPr>
        <w:t>f</w:t>
      </w:r>
      <w:r w:rsidR="00034C57" w:rsidRPr="000833E9">
        <w:rPr>
          <w:rFonts w:asciiTheme="majorBidi" w:hAnsiTheme="majorBidi" w:cs="Times New Roman"/>
          <w:b/>
          <w:bCs/>
          <w:sz w:val="24"/>
          <w:szCs w:val="24"/>
        </w:rPr>
        <w:t>igure I.6) (Lebœuf, 2014)</w:t>
      </w:r>
      <w:r w:rsidR="00034C57">
        <w:rPr>
          <w:rFonts w:asciiTheme="majorBidi" w:hAnsiTheme="majorBidi" w:cs="Times New Roman"/>
          <w:b/>
          <w:bCs/>
          <w:sz w:val="24"/>
          <w:szCs w:val="24"/>
        </w:rPr>
        <w:t xml:space="preserve"> (Depla, 2011)</w:t>
      </w:r>
      <w:r w:rsidR="00034C57" w:rsidRPr="000833E9">
        <w:rPr>
          <w:rFonts w:asciiTheme="majorBidi" w:hAnsiTheme="majorBidi" w:cs="Times New Roman"/>
          <w:b/>
          <w:bCs/>
          <w:sz w:val="24"/>
          <w:szCs w:val="24"/>
        </w:rPr>
        <w:t>.</w:t>
      </w:r>
    </w:p>
    <w:p w:rsidR="00034C57" w:rsidRDefault="00824C86" w:rsidP="00034C57">
      <w:pPr>
        <w:spacing w:line="360" w:lineRule="auto"/>
        <w:jc w:val="both"/>
        <w:rPr>
          <w:rFonts w:asciiTheme="majorBidi" w:hAnsiTheme="majorBidi" w:cs="Times New Roman"/>
          <w:b/>
          <w:bCs/>
          <w:sz w:val="24"/>
          <w:szCs w:val="24"/>
        </w:rPr>
      </w:pPr>
      <w:r w:rsidRPr="00824C86">
        <w:rPr>
          <w:noProof/>
          <w:lang w:eastAsia="fr-FR"/>
        </w:rPr>
        <w:pict>
          <v:rect id="Rectangle 26" o:spid="_x0000_s1050" style="position:absolute;left:0;text-align:left;margin-left:291.35pt;margin-top:234.3pt;width:49.5pt;height:2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" fillcolor="white [3212]" stroked="f"/>
        </w:pict>
      </w:r>
      <w:r w:rsidR="00034C57">
        <w:rPr>
          <w:rFonts w:asciiTheme="majorBidi" w:hAnsiTheme="majorBidi" w:cs="Times New Roman"/>
          <w:b/>
          <w:bCs/>
          <w:noProof/>
          <w:sz w:val="24"/>
          <w:szCs w:val="24"/>
          <w:lang w:eastAsia="fr-FR"/>
        </w:rPr>
        <w:drawing>
          <wp:inline distT="0" distB="0" distL="0" distR="0">
            <wp:extent cx="5800725" cy="3343275"/>
            <wp:effectExtent l="0" t="0" r="0" b="0"/>
            <wp:docPr id="6" name="Image 18" descr="Description : Description : HCV_prevalence_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Description : HCV_prevalence_1999.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0725" cy="3343275"/>
                    </a:xfrm>
                    <a:prstGeom prst="rect">
                      <a:avLst/>
                    </a:prstGeom>
                    <a:noFill/>
                    <a:ln>
                      <a:noFill/>
                    </a:ln>
                  </pic:spPr>
                </pic:pic>
              </a:graphicData>
            </a:graphic>
          </wp:inline>
        </w:drawing>
      </w:r>
    </w:p>
    <w:p w:rsidR="00034C57" w:rsidRPr="00D05FC8" w:rsidRDefault="00034C57" w:rsidP="00034C57">
      <w:pPr>
        <w:spacing w:line="360" w:lineRule="auto"/>
        <w:jc w:val="center"/>
        <w:rPr>
          <w:rFonts w:asciiTheme="majorBidi" w:hAnsiTheme="majorBidi" w:cs="Times New Roman"/>
          <w:b/>
          <w:bCs/>
          <w:sz w:val="24"/>
          <w:szCs w:val="24"/>
        </w:rPr>
      </w:pPr>
      <w:r w:rsidRPr="00D05FC8">
        <w:rPr>
          <w:rFonts w:asciiTheme="majorBidi" w:hAnsiTheme="majorBidi" w:cs="Times New Roman"/>
          <w:b/>
          <w:bCs/>
          <w:sz w:val="24"/>
          <w:szCs w:val="24"/>
        </w:rPr>
        <w:t xml:space="preserve">Figure I.6. </w:t>
      </w:r>
      <w:r w:rsidRPr="00D05FC8">
        <w:rPr>
          <w:rFonts w:asciiTheme="majorBidi" w:hAnsiTheme="majorBidi" w:cs="Times New Roman"/>
          <w:sz w:val="24"/>
          <w:szCs w:val="24"/>
        </w:rPr>
        <w:t xml:space="preserve">Prévalence mondiale de l’hépatite chronique C </w:t>
      </w:r>
      <w:r w:rsidRPr="00D05FC8">
        <w:rPr>
          <w:rFonts w:asciiTheme="majorBidi" w:hAnsiTheme="majorBidi" w:cs="Times New Roman"/>
          <w:b/>
          <w:bCs/>
          <w:sz w:val="24"/>
          <w:szCs w:val="24"/>
        </w:rPr>
        <w:t>(Lebœuf, 2014).</w:t>
      </w:r>
    </w:p>
    <w:p w:rsidR="00034C57" w:rsidRPr="004B6B1E" w:rsidRDefault="00034C57" w:rsidP="00034C57">
      <w:pPr>
        <w:ind w:left="360"/>
        <w:jc w:val="both"/>
        <w:rPr>
          <w:rFonts w:asciiTheme="majorBidi" w:hAnsiTheme="majorBidi" w:cs="Times New Roman"/>
          <w:b/>
          <w:bCs/>
          <w:sz w:val="24"/>
          <w:szCs w:val="24"/>
        </w:rPr>
      </w:pPr>
      <w:r w:rsidRPr="004B6B1E">
        <w:rPr>
          <w:rFonts w:asciiTheme="majorBidi" w:hAnsiTheme="majorBidi" w:cs="Times New Roman"/>
          <w:b/>
          <w:bCs/>
          <w:sz w:val="24"/>
          <w:szCs w:val="24"/>
        </w:rPr>
        <w:t>6.2. Epidémiologie de l’infection en Algérie</w:t>
      </w:r>
    </w:p>
    <w:p w:rsidR="00034C57" w:rsidRDefault="00034C57" w:rsidP="00034C57">
      <w:pPr>
        <w:spacing w:line="360" w:lineRule="auto"/>
        <w:jc w:val="both"/>
        <w:rPr>
          <w:rFonts w:asciiTheme="majorBidi" w:hAnsiTheme="majorBidi" w:cs="Times New Roman"/>
          <w:b/>
          <w:bCs/>
        </w:rPr>
      </w:pPr>
      <w:r>
        <w:rPr>
          <w:rFonts w:asciiTheme="majorBidi" w:hAnsiTheme="majorBidi" w:cs="Times New Roman"/>
        </w:rPr>
        <w:t xml:space="preserve">                  En Algérie, 1,5 million </w:t>
      </w:r>
      <w:r w:rsidRPr="008B37B6">
        <w:rPr>
          <w:rFonts w:asciiTheme="majorBidi" w:hAnsiTheme="majorBidi" w:cs="Times New Roman"/>
        </w:rPr>
        <w:t xml:space="preserve">de personnes </w:t>
      </w:r>
      <w:r>
        <w:rPr>
          <w:rFonts w:asciiTheme="majorBidi" w:hAnsiTheme="majorBidi" w:cs="Times New Roman"/>
        </w:rPr>
        <w:t xml:space="preserve">sur 40 millions d’habitants sont </w:t>
      </w:r>
      <w:r w:rsidRPr="008B37B6">
        <w:rPr>
          <w:rFonts w:asciiTheme="majorBidi" w:hAnsiTheme="majorBidi" w:cs="Times New Roman"/>
        </w:rPr>
        <w:t xml:space="preserve">atteintes par le VHC. La contamination se fait surtout par le partage collectif d’objets contaminés. En 2005, le ministère de la santé algérien avait décidé de mettre en </w:t>
      </w:r>
      <w:r>
        <w:rPr>
          <w:rFonts w:asciiTheme="majorBidi" w:hAnsiTheme="majorBidi" w:cs="Times New Roman"/>
        </w:rPr>
        <w:t xml:space="preserve">place </w:t>
      </w:r>
      <w:r w:rsidRPr="008B37B6">
        <w:rPr>
          <w:rFonts w:asciiTheme="majorBidi" w:hAnsiTheme="majorBidi" w:cs="Times New Roman"/>
        </w:rPr>
        <w:t>un plan de lutte jamais appliqué, sauf une recommandation</w:t>
      </w:r>
      <w:r>
        <w:rPr>
          <w:rFonts w:asciiTheme="majorBidi" w:hAnsiTheme="majorBidi" w:cs="Times New Roman"/>
        </w:rPr>
        <w:t xml:space="preserve">, </w:t>
      </w:r>
      <w:r w:rsidRPr="008B37B6">
        <w:rPr>
          <w:rFonts w:asciiTheme="majorBidi" w:hAnsiTheme="majorBidi" w:cs="Times New Roman"/>
        </w:rPr>
        <w:t>enjoignant les chirurgiens-dentistes à se doter d’autoclaves. Comme dans la majorité du monde, les contaminations sont surtout conséquentes aux soins</w:t>
      </w:r>
      <w:r w:rsidRPr="008B37B6">
        <w:rPr>
          <w:rFonts w:asciiTheme="majorBidi" w:hAnsiTheme="majorBidi" w:cs="Times New Roman"/>
          <w:b/>
          <w:bCs/>
        </w:rPr>
        <w:t xml:space="preserve"> (Journal d</w:t>
      </w:r>
      <w:r>
        <w:rPr>
          <w:rFonts w:asciiTheme="majorBidi" w:hAnsiTheme="majorBidi" w:cs="Times New Roman"/>
          <w:b/>
          <w:bCs/>
        </w:rPr>
        <w:t>’</w:t>
      </w:r>
      <w:r w:rsidRPr="008B37B6">
        <w:rPr>
          <w:rFonts w:asciiTheme="majorBidi" w:hAnsiTheme="majorBidi" w:cs="Times New Roman"/>
          <w:b/>
          <w:bCs/>
        </w:rPr>
        <w:t>info</w:t>
      </w:r>
      <w:r>
        <w:rPr>
          <w:rFonts w:asciiTheme="majorBidi" w:hAnsiTheme="majorBidi" w:cs="Times New Roman"/>
          <w:b/>
          <w:bCs/>
        </w:rPr>
        <w:t>rmation</w:t>
      </w:r>
      <w:r w:rsidRPr="00394777">
        <w:rPr>
          <w:rFonts w:asciiTheme="majorBidi" w:hAnsiTheme="majorBidi" w:cs="Times New Roman"/>
          <w:b/>
          <w:bCs/>
        </w:rPr>
        <w:t>sur l’hépatite, 2012).</w:t>
      </w:r>
    </w:p>
    <w:p w:rsidR="00034C57" w:rsidRPr="00F921E8" w:rsidRDefault="00034C57" w:rsidP="00034C57">
      <w:pPr>
        <w:pStyle w:val="Paragraphedeliste"/>
        <w:numPr>
          <w:ilvl w:val="0"/>
          <w:numId w:val="1"/>
        </w:numPr>
        <w:jc w:val="both"/>
        <w:rPr>
          <w:rFonts w:asciiTheme="majorBidi" w:hAnsiTheme="majorBidi" w:cs="Times New Roman"/>
          <w:b/>
          <w:bCs/>
          <w:sz w:val="24"/>
          <w:szCs w:val="24"/>
        </w:rPr>
      </w:pPr>
      <w:r w:rsidRPr="00F921E8">
        <w:rPr>
          <w:rFonts w:asciiTheme="majorBidi" w:hAnsiTheme="majorBidi" w:cs="Times New Roman"/>
          <w:b/>
          <w:bCs/>
          <w:sz w:val="24"/>
          <w:szCs w:val="24"/>
        </w:rPr>
        <w:t>Mode de transmission du VHC</w:t>
      </w:r>
    </w:p>
    <w:p w:rsidR="00034C57" w:rsidRDefault="00ED3E7B" w:rsidP="00ED3E7B">
      <w:pPr>
        <w:autoSpaceDE w:val="0"/>
        <w:autoSpaceDN w:val="0"/>
        <w:adjustRightInd w:val="0"/>
        <w:spacing w:after="0" w:line="360" w:lineRule="auto"/>
        <w:ind w:firstLine="360"/>
        <w:jc w:val="both"/>
        <w:rPr>
          <w:rFonts w:ascii="Times New Roman" w:hAnsi="Times New Roman" w:cs="Times New Roman"/>
          <w:b/>
          <w:bCs/>
          <w:sz w:val="24"/>
          <w:szCs w:val="24"/>
        </w:rPr>
      </w:pPr>
      <w:r>
        <w:rPr>
          <w:rFonts w:ascii="Times New Roman" w:hAnsi="Times New Roman" w:cs="Times New Roman"/>
          <w:sz w:val="24"/>
          <w:szCs w:val="24"/>
        </w:rPr>
        <w:t xml:space="preserve">          </w:t>
      </w:r>
      <w:r w:rsidR="00034C57" w:rsidRPr="00A41E61">
        <w:rPr>
          <w:rFonts w:ascii="Times New Roman" w:hAnsi="Times New Roman" w:cs="Times New Roman"/>
          <w:sz w:val="24"/>
          <w:szCs w:val="24"/>
        </w:rPr>
        <w:t xml:space="preserve">Le VHC a une transmission principalement parentérale avec du sang contaminé ou des produits sanguins labiles contaminés. Les deux sources majeures d’infection (90% dans les pays développés) sont la transfusion sanguine, ou l’injection intraveineuse de drogues. Historiquement, on connait 3 principaux facteurs de contamination par le VHC dans un premier </w:t>
      </w:r>
      <w:r w:rsidR="00034C57" w:rsidRPr="00A41E61">
        <w:rPr>
          <w:rFonts w:ascii="Times New Roman" w:hAnsi="Times New Roman" w:cs="Times New Roman"/>
          <w:sz w:val="24"/>
          <w:szCs w:val="24"/>
        </w:rPr>
        <w:lastRenderedPageBreak/>
        <w:t>temps via les activités de soins par les aiguilles et matériaux invasifs insuffisamment décontaminés et réutilisables, puis par les transfusions, et enfin par la toxicomanie intraveineuse</w:t>
      </w:r>
      <w:r w:rsidR="00034C57">
        <w:rPr>
          <w:rFonts w:ascii="Times New Roman" w:hAnsi="Times New Roman" w:cs="Times New Roman"/>
          <w:sz w:val="24"/>
          <w:szCs w:val="24"/>
        </w:rPr>
        <w:t xml:space="preserve">. </w:t>
      </w:r>
      <w:r w:rsidR="00034C57" w:rsidRPr="00A41E61">
        <w:rPr>
          <w:rFonts w:ascii="Times New Roman" w:hAnsi="Times New Roman" w:cs="Times New Roman"/>
          <w:sz w:val="24"/>
          <w:szCs w:val="24"/>
        </w:rPr>
        <w:t>La transmission sexuelle est théoriquement possible mais rarement observée. La transmission verticale materno</w:t>
      </w:r>
      <w:r w:rsidR="00034C57">
        <w:rPr>
          <w:rFonts w:ascii="Times New Roman" w:hAnsi="Times New Roman" w:cs="Times New Roman"/>
          <w:sz w:val="24"/>
          <w:szCs w:val="24"/>
        </w:rPr>
        <w:t>-</w:t>
      </w:r>
      <w:r w:rsidR="00034C57" w:rsidRPr="00A41E61">
        <w:rPr>
          <w:rFonts w:ascii="Times New Roman" w:hAnsi="Times New Roman" w:cs="Times New Roman"/>
          <w:sz w:val="24"/>
          <w:szCs w:val="24"/>
        </w:rPr>
        <w:t xml:space="preserve">fœtale est notée chez environ 3 %des enfants </w:t>
      </w:r>
      <w:r w:rsidR="00034C57" w:rsidRPr="00F921E8">
        <w:rPr>
          <w:rFonts w:ascii="Times New Roman" w:hAnsi="Times New Roman" w:cs="Times New Roman"/>
          <w:b/>
          <w:bCs/>
          <w:sz w:val="24"/>
          <w:szCs w:val="24"/>
        </w:rPr>
        <w:t>(Pol et  Fontaine, 2010) (Le Ménach, 2013).</w:t>
      </w:r>
    </w:p>
    <w:p w:rsidR="00034C57" w:rsidRDefault="00034C57" w:rsidP="00034C57">
      <w:pPr>
        <w:autoSpaceDE w:val="0"/>
        <w:autoSpaceDN w:val="0"/>
        <w:adjustRightInd w:val="0"/>
        <w:spacing w:after="0" w:line="360" w:lineRule="auto"/>
        <w:jc w:val="both"/>
        <w:rPr>
          <w:rFonts w:ascii="Times New Roman" w:hAnsi="Times New Roman" w:cs="Times New Roman"/>
          <w:b/>
          <w:bCs/>
          <w:sz w:val="24"/>
          <w:szCs w:val="24"/>
        </w:rPr>
      </w:pPr>
    </w:p>
    <w:p w:rsidR="00034C57" w:rsidRDefault="00034C57" w:rsidP="00034C57">
      <w:pPr>
        <w:pStyle w:val="Paragraphedeliste"/>
        <w:numPr>
          <w:ilvl w:val="0"/>
          <w:numId w:val="1"/>
        </w:numPr>
        <w:spacing w:line="360" w:lineRule="auto"/>
        <w:jc w:val="both"/>
        <w:rPr>
          <w:rFonts w:asciiTheme="majorBidi" w:hAnsiTheme="majorBidi" w:cs="Times New Roman"/>
          <w:b/>
          <w:bCs/>
          <w:sz w:val="24"/>
          <w:szCs w:val="24"/>
        </w:rPr>
      </w:pPr>
      <w:r w:rsidRPr="00BB6CDE">
        <w:rPr>
          <w:rFonts w:asciiTheme="majorBidi" w:hAnsiTheme="majorBidi" w:cs="Times New Roman"/>
          <w:b/>
          <w:bCs/>
          <w:sz w:val="24"/>
          <w:szCs w:val="24"/>
        </w:rPr>
        <w:t>Histoire naturelle de l’infection</w:t>
      </w:r>
    </w:p>
    <w:p w:rsidR="00034C57" w:rsidRPr="006175E0" w:rsidRDefault="002F4B74" w:rsidP="002F4B74">
      <w:pPr>
        <w:spacing w:line="360" w:lineRule="auto"/>
        <w:ind w:firstLine="360"/>
        <w:jc w:val="both"/>
        <w:rPr>
          <w:rFonts w:asciiTheme="majorBidi" w:hAnsiTheme="majorBidi" w:cs="Times New Roman"/>
          <w:b/>
          <w:bCs/>
          <w:sz w:val="24"/>
          <w:szCs w:val="24"/>
        </w:rPr>
      </w:pPr>
      <w:r>
        <w:rPr>
          <w:rFonts w:asciiTheme="majorBidi" w:hAnsiTheme="majorBidi" w:cs="Times New Roman"/>
          <w:sz w:val="24"/>
          <w:szCs w:val="24"/>
        </w:rPr>
        <w:t xml:space="preserve">         </w:t>
      </w:r>
      <w:r w:rsidR="00034C57" w:rsidRPr="006175E0">
        <w:rPr>
          <w:rFonts w:asciiTheme="majorBidi" w:hAnsiTheme="majorBidi" w:cs="Times New Roman"/>
          <w:sz w:val="24"/>
          <w:szCs w:val="24"/>
        </w:rPr>
        <w:t>Après la contamination par le</w:t>
      </w:r>
      <w:r w:rsidR="00ED3E7B">
        <w:rPr>
          <w:rFonts w:asciiTheme="majorBidi" w:hAnsiTheme="majorBidi" w:cs="Times New Roman"/>
          <w:sz w:val="24"/>
          <w:szCs w:val="24"/>
        </w:rPr>
        <w:t xml:space="preserve"> </w:t>
      </w:r>
      <w:r w:rsidR="00034C57" w:rsidRPr="006175E0">
        <w:rPr>
          <w:rFonts w:asciiTheme="majorBidi" w:hAnsiTheme="majorBidi" w:cs="Times New Roman"/>
          <w:sz w:val="24"/>
          <w:szCs w:val="24"/>
        </w:rPr>
        <w:t>VHC</w:t>
      </w:r>
      <w:r w:rsidR="00ED3E7B">
        <w:rPr>
          <w:rFonts w:asciiTheme="majorBidi" w:hAnsiTheme="majorBidi" w:cs="Times New Roman"/>
          <w:sz w:val="24"/>
          <w:szCs w:val="24"/>
        </w:rPr>
        <w:t xml:space="preserve"> </w:t>
      </w:r>
      <w:r w:rsidR="00034C57" w:rsidRPr="006175E0">
        <w:rPr>
          <w:rFonts w:asciiTheme="majorBidi" w:hAnsiTheme="majorBidi" w:cs="Times New Roman"/>
          <w:sz w:val="24"/>
          <w:szCs w:val="24"/>
        </w:rPr>
        <w:t>et une période d’incubation allant de 4 à 12 semaines,  survient la phase aiguë de l’infection qui est généralement asymptomatique.</w:t>
      </w:r>
      <w:r w:rsidR="00ED3E7B">
        <w:rPr>
          <w:rFonts w:asciiTheme="majorBidi" w:hAnsiTheme="majorBidi" w:cs="Times New Roman"/>
          <w:sz w:val="24"/>
          <w:szCs w:val="24"/>
        </w:rPr>
        <w:t xml:space="preserve"> </w:t>
      </w:r>
      <w:r w:rsidR="00034C57" w:rsidRPr="006175E0">
        <w:rPr>
          <w:rFonts w:asciiTheme="majorBidi" w:hAnsiTheme="majorBidi" w:cs="Times New Roman"/>
          <w:sz w:val="24"/>
          <w:szCs w:val="24"/>
        </w:rPr>
        <w:t xml:space="preserve">La guérison de l’infection aiguë est définie par l’absence durable de l’ARN viral dans le sang. Environ 15% des sujets infectés vont éliminer spontanément le virus, mais dans 80% des cas le virus n’est pas éliminé et les patients développent une infection chronique. </w:t>
      </w:r>
      <w:r w:rsidR="00034C57" w:rsidRPr="006175E0">
        <w:rPr>
          <w:rFonts w:ascii="Times New Roman" w:hAnsi="Times New Roman" w:cs="Times New Roman"/>
          <w:sz w:val="24"/>
          <w:szCs w:val="24"/>
        </w:rPr>
        <w:t>La chronicité est définie par la persistance du génome viral dans le sérum plus de six mois après la phase aiguë</w:t>
      </w:r>
      <w:r w:rsidR="00ED3E7B">
        <w:rPr>
          <w:rFonts w:ascii="Times New Roman" w:hAnsi="Times New Roman" w:cs="Times New Roman"/>
          <w:sz w:val="24"/>
          <w:szCs w:val="24"/>
        </w:rPr>
        <w:t xml:space="preserve"> </w:t>
      </w:r>
      <w:r w:rsidR="00034C57" w:rsidRPr="0029010A">
        <w:rPr>
          <w:rFonts w:asciiTheme="majorBidi" w:hAnsiTheme="majorBidi" w:cs="Times New Roman"/>
          <w:b/>
          <w:bCs/>
          <w:sz w:val="24"/>
          <w:szCs w:val="24"/>
        </w:rPr>
        <w:t>(figure I.7)</w:t>
      </w:r>
      <w:r>
        <w:rPr>
          <w:rFonts w:asciiTheme="majorBidi" w:hAnsiTheme="majorBidi" w:cs="Times New Roman"/>
          <w:b/>
          <w:bCs/>
          <w:sz w:val="24"/>
          <w:szCs w:val="24"/>
        </w:rPr>
        <w:t xml:space="preserve"> </w:t>
      </w:r>
      <w:r w:rsidR="00034C57" w:rsidRPr="00F921E8">
        <w:rPr>
          <w:rFonts w:ascii="Times New Roman" w:hAnsi="Times New Roman" w:cs="Times New Roman"/>
          <w:b/>
          <w:bCs/>
          <w:sz w:val="24"/>
          <w:szCs w:val="24"/>
        </w:rPr>
        <w:t>(Depla, 2011</w:t>
      </w:r>
      <w:r w:rsidR="00034C57">
        <w:rPr>
          <w:rFonts w:ascii="Times New Roman" w:hAnsi="Times New Roman" w:cs="Times New Roman"/>
          <w:b/>
          <w:bCs/>
          <w:sz w:val="24"/>
          <w:szCs w:val="24"/>
        </w:rPr>
        <w:t xml:space="preserve"> ; </w:t>
      </w:r>
      <w:r w:rsidR="00034C57" w:rsidRPr="00F921E8">
        <w:rPr>
          <w:rFonts w:ascii="Times New Roman" w:hAnsi="Times New Roman" w:cs="Times New Roman"/>
          <w:b/>
          <w:bCs/>
          <w:sz w:val="24"/>
          <w:szCs w:val="24"/>
        </w:rPr>
        <w:t>Benbria, 2010</w:t>
      </w:r>
      <w:r w:rsidR="00034C57">
        <w:rPr>
          <w:rFonts w:ascii="Times New Roman" w:hAnsi="Times New Roman" w:cs="Times New Roman"/>
          <w:b/>
          <w:bCs/>
          <w:sz w:val="24"/>
          <w:szCs w:val="24"/>
        </w:rPr>
        <w:t> ; W</w:t>
      </w:r>
      <w:r w:rsidR="00034C57" w:rsidRPr="00F921E8">
        <w:rPr>
          <w:rFonts w:ascii="Times New Roman" w:hAnsi="Times New Roman" w:cs="Times New Roman"/>
          <w:b/>
          <w:bCs/>
          <w:sz w:val="24"/>
          <w:szCs w:val="24"/>
        </w:rPr>
        <w:t>alic, 2013).</w:t>
      </w:r>
    </w:p>
    <w:p w:rsidR="00034C57" w:rsidRDefault="00034C57" w:rsidP="00034C57">
      <w:pPr>
        <w:spacing w:line="360" w:lineRule="auto"/>
        <w:ind w:left="360"/>
        <w:jc w:val="both"/>
        <w:rPr>
          <w:rFonts w:asciiTheme="majorBidi" w:hAnsiTheme="majorBidi" w:cs="Times New Roman"/>
          <w:b/>
          <w:bCs/>
          <w:sz w:val="24"/>
          <w:szCs w:val="24"/>
        </w:rPr>
      </w:pPr>
      <w:r>
        <w:rPr>
          <w:rFonts w:asciiTheme="majorBidi" w:hAnsiTheme="majorBidi" w:cs="Times New Roman"/>
          <w:b/>
          <w:bCs/>
          <w:noProof/>
          <w:sz w:val="24"/>
          <w:szCs w:val="24"/>
          <w:lang w:eastAsia="fr-FR"/>
        </w:rPr>
        <w:drawing>
          <wp:inline distT="0" distB="0" distL="0" distR="0">
            <wp:extent cx="5572125" cy="3943350"/>
            <wp:effectExtent l="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3943350"/>
                    </a:xfrm>
                    <a:prstGeom prst="rect">
                      <a:avLst/>
                    </a:prstGeom>
                    <a:noFill/>
                    <a:ln>
                      <a:noFill/>
                    </a:ln>
                  </pic:spPr>
                </pic:pic>
              </a:graphicData>
            </a:graphic>
          </wp:inline>
        </w:drawing>
      </w:r>
    </w:p>
    <w:p w:rsidR="00034C57" w:rsidRPr="00A72FE8" w:rsidRDefault="00034C57" w:rsidP="00034C57">
      <w:pPr>
        <w:jc w:val="center"/>
        <w:rPr>
          <w:rFonts w:ascii="Times New Roman" w:hAnsi="Times New Roman" w:cs="Times New Roman"/>
          <w:iCs/>
          <w:sz w:val="24"/>
          <w:szCs w:val="24"/>
        </w:rPr>
      </w:pPr>
      <w:r w:rsidRPr="00DD190E">
        <w:rPr>
          <w:rFonts w:ascii="Times New Roman" w:hAnsi="Times New Roman" w:cs="Times New Roman"/>
          <w:b/>
          <w:bCs/>
          <w:iCs/>
          <w:sz w:val="24"/>
          <w:szCs w:val="24"/>
        </w:rPr>
        <w:t xml:space="preserve">Figure I.7. </w:t>
      </w:r>
      <w:r w:rsidRPr="0087017E">
        <w:rPr>
          <w:rFonts w:ascii="Times New Roman" w:hAnsi="Times New Roman" w:cs="Times New Roman"/>
          <w:iCs/>
          <w:sz w:val="24"/>
          <w:szCs w:val="24"/>
        </w:rPr>
        <w:t>Histoire naturelle de l’hépatite C</w:t>
      </w:r>
      <w:r w:rsidR="00ED3E7B">
        <w:rPr>
          <w:rFonts w:ascii="Times New Roman" w:hAnsi="Times New Roman" w:cs="Times New Roman"/>
          <w:iCs/>
          <w:sz w:val="24"/>
          <w:szCs w:val="24"/>
        </w:rPr>
        <w:t xml:space="preserve"> </w:t>
      </w:r>
      <w:r w:rsidRPr="00F921E8">
        <w:rPr>
          <w:rFonts w:asciiTheme="majorBidi" w:hAnsiTheme="majorBidi" w:cs="Times New Roman"/>
          <w:b/>
          <w:bCs/>
          <w:iCs/>
          <w:sz w:val="24"/>
          <w:szCs w:val="24"/>
        </w:rPr>
        <w:t>(Piodi, 2010)</w:t>
      </w:r>
      <w:r>
        <w:rPr>
          <w:rFonts w:asciiTheme="majorBidi" w:hAnsiTheme="majorBidi" w:cs="Times New Roman"/>
          <w:b/>
          <w:bCs/>
          <w:iCs/>
          <w:sz w:val="24"/>
          <w:szCs w:val="24"/>
        </w:rPr>
        <w:t>.</w:t>
      </w:r>
    </w:p>
    <w:p w:rsidR="00034C57" w:rsidRDefault="00824C86" w:rsidP="00034C57">
      <w:pPr>
        <w:spacing w:line="360" w:lineRule="auto"/>
        <w:ind w:left="360"/>
        <w:jc w:val="both"/>
        <w:rPr>
          <w:rFonts w:asciiTheme="majorBidi" w:hAnsiTheme="majorBidi" w:cs="Times New Roman"/>
          <w:b/>
          <w:bCs/>
          <w:sz w:val="24"/>
          <w:szCs w:val="24"/>
        </w:rPr>
      </w:pPr>
      <w:r w:rsidRPr="00824C86">
        <w:rPr>
          <w:noProof/>
          <w:lang w:eastAsia="fr-FR"/>
        </w:rPr>
        <w:pict>
          <v:shape id="Zone de texte 25" o:spid="_x0000_s1029" type="#_x0000_t202" style="position:absolute;left:0;text-align:left;margin-left:18.25pt;margin-top:-.6pt;width:442.55pt;height:57.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" stroked="f">
            <v:textbox>
              <w:txbxContent>
                <w:p w:rsidR="006205BC" w:rsidRPr="00040A1B" w:rsidRDefault="006205BC" w:rsidP="00034C57">
                  <w:pPr>
                    <w:spacing w:line="240" w:lineRule="auto"/>
                    <w:jc w:val="both"/>
                  </w:pPr>
                  <w:r w:rsidRPr="00040A1B">
                    <w:rPr>
                      <w:rFonts w:asciiTheme="majorBidi" w:hAnsiTheme="majorBidi" w:cs="Times New Roman"/>
                      <w:iCs/>
                    </w:rPr>
                    <w:t>Les pourcentages indiquent les prévalences observées dans la population.Ladétection d’une charge virale (ARN VHC positif ou négatif) et l’activité desTransaminases (ALAT) sont indiquées pour distinguer les formes d’hépatites</w:t>
                  </w:r>
                </w:p>
              </w:txbxContent>
            </v:textbox>
          </v:shape>
        </w:pict>
      </w:r>
    </w:p>
    <w:p w:rsidR="00034C57" w:rsidRDefault="00034C57" w:rsidP="00034C57">
      <w:pPr>
        <w:spacing w:line="360" w:lineRule="auto"/>
        <w:ind w:left="360"/>
        <w:jc w:val="both"/>
        <w:rPr>
          <w:rFonts w:asciiTheme="majorBidi" w:hAnsiTheme="majorBidi" w:cs="Times New Roman"/>
          <w:b/>
          <w:bCs/>
          <w:sz w:val="24"/>
          <w:szCs w:val="24"/>
        </w:rPr>
      </w:pPr>
    </w:p>
    <w:p w:rsidR="00034C57" w:rsidRDefault="00034C57" w:rsidP="00ED3E7B">
      <w:pPr>
        <w:spacing w:line="360" w:lineRule="auto"/>
        <w:ind w:firstLine="708"/>
        <w:jc w:val="both"/>
        <w:rPr>
          <w:rFonts w:asciiTheme="majorBidi" w:hAnsiTheme="majorBidi" w:cs="Times New Roman"/>
          <w:b/>
          <w:bCs/>
          <w:sz w:val="24"/>
          <w:szCs w:val="24"/>
        </w:rPr>
      </w:pPr>
      <w:r w:rsidRPr="0029010A">
        <w:rPr>
          <w:rFonts w:asciiTheme="majorBidi" w:hAnsiTheme="majorBidi" w:cs="Times New Roman"/>
          <w:sz w:val="24"/>
          <w:szCs w:val="24"/>
        </w:rPr>
        <w:lastRenderedPageBreak/>
        <w:t>L’</w:t>
      </w:r>
      <w:r>
        <w:rPr>
          <w:rFonts w:asciiTheme="majorBidi" w:hAnsiTheme="majorBidi" w:cs="Times New Roman"/>
          <w:sz w:val="24"/>
          <w:szCs w:val="24"/>
        </w:rPr>
        <w:t xml:space="preserve">ARN viral est </w:t>
      </w:r>
      <w:r w:rsidRPr="0029010A">
        <w:rPr>
          <w:rFonts w:asciiTheme="majorBidi" w:hAnsiTheme="majorBidi" w:cs="Times New Roman"/>
          <w:sz w:val="24"/>
          <w:szCs w:val="24"/>
        </w:rPr>
        <w:t>détectable 1 à 3 semaines après la contamination,</w:t>
      </w:r>
      <w:r w:rsidR="00ED3E7B">
        <w:rPr>
          <w:rFonts w:asciiTheme="majorBidi" w:hAnsiTheme="majorBidi" w:cs="Times New Roman"/>
          <w:sz w:val="24"/>
          <w:szCs w:val="24"/>
        </w:rPr>
        <w:t xml:space="preserve"> </w:t>
      </w:r>
      <w:r w:rsidRPr="0029010A">
        <w:rPr>
          <w:rFonts w:asciiTheme="majorBidi" w:hAnsiTheme="majorBidi" w:cs="Times New Roman"/>
          <w:sz w:val="24"/>
          <w:szCs w:val="24"/>
        </w:rPr>
        <w:t>souvent en même temps</w:t>
      </w:r>
      <w:r w:rsidR="00ED3E7B">
        <w:rPr>
          <w:rFonts w:asciiTheme="majorBidi" w:hAnsiTheme="majorBidi" w:cs="Times New Roman"/>
          <w:sz w:val="24"/>
          <w:szCs w:val="24"/>
        </w:rPr>
        <w:t xml:space="preserve"> </w:t>
      </w:r>
      <w:r w:rsidRPr="0029010A">
        <w:rPr>
          <w:rFonts w:asciiTheme="majorBidi" w:hAnsiTheme="majorBidi" w:cs="Times New Roman"/>
          <w:sz w:val="24"/>
          <w:szCs w:val="24"/>
        </w:rPr>
        <w:t>qu’une élévation du taux de transaminases sériques, 10 fois supérieure à la norm</w:t>
      </w:r>
      <w:r>
        <w:rPr>
          <w:rFonts w:asciiTheme="majorBidi" w:hAnsiTheme="majorBidi" w:cs="Times New Roman"/>
          <w:sz w:val="24"/>
          <w:szCs w:val="24"/>
        </w:rPr>
        <w:t xml:space="preserve">ale. Ces transaminases, </w:t>
      </w:r>
      <w:r w:rsidRPr="0029010A">
        <w:rPr>
          <w:rFonts w:asciiTheme="majorBidi" w:hAnsiTheme="majorBidi" w:cs="Times New Roman"/>
          <w:sz w:val="24"/>
          <w:szCs w:val="24"/>
        </w:rPr>
        <w:t>ALAT (Alanine Amino</w:t>
      </w:r>
      <w:r>
        <w:rPr>
          <w:rFonts w:asciiTheme="majorBidi" w:hAnsiTheme="majorBidi" w:cs="Times New Roman"/>
          <w:sz w:val="24"/>
          <w:szCs w:val="24"/>
        </w:rPr>
        <w:t>-</w:t>
      </w:r>
      <w:r w:rsidR="00ED3E7B">
        <w:rPr>
          <w:rFonts w:asciiTheme="majorBidi" w:hAnsiTheme="majorBidi" w:cs="Times New Roman"/>
          <w:sz w:val="24"/>
          <w:szCs w:val="24"/>
        </w:rPr>
        <w:t xml:space="preserve">Transférases) et ASAT </w:t>
      </w:r>
      <w:r w:rsidRPr="0029010A">
        <w:rPr>
          <w:rFonts w:asciiTheme="majorBidi" w:hAnsiTheme="majorBidi" w:cs="Times New Roman"/>
          <w:sz w:val="24"/>
          <w:szCs w:val="24"/>
        </w:rPr>
        <w:t>(AspartateAmino</w:t>
      </w:r>
      <w:r>
        <w:rPr>
          <w:rFonts w:asciiTheme="majorBidi" w:hAnsiTheme="majorBidi" w:cs="Times New Roman"/>
          <w:sz w:val="24"/>
          <w:szCs w:val="24"/>
        </w:rPr>
        <w:t xml:space="preserve">- </w:t>
      </w:r>
      <w:r w:rsidRPr="0029010A">
        <w:rPr>
          <w:rFonts w:asciiTheme="majorBidi" w:hAnsiTheme="majorBidi" w:cs="Times New Roman"/>
          <w:sz w:val="24"/>
          <w:szCs w:val="24"/>
        </w:rPr>
        <w:t>Transfé</w:t>
      </w:r>
      <w:r>
        <w:rPr>
          <w:rFonts w:asciiTheme="majorBidi" w:hAnsiTheme="majorBidi" w:cs="Times New Roman"/>
          <w:sz w:val="24"/>
          <w:szCs w:val="24"/>
        </w:rPr>
        <w:t xml:space="preserve">rases)  </w:t>
      </w:r>
      <w:r w:rsidRPr="0029010A">
        <w:rPr>
          <w:rFonts w:asciiTheme="majorBidi" w:hAnsiTheme="majorBidi" w:cs="Times New Roman"/>
          <w:sz w:val="24"/>
          <w:szCs w:val="24"/>
        </w:rPr>
        <w:t>participent à la synthèse et la dégradation des acides aminés dans l’hé</w:t>
      </w:r>
      <w:r>
        <w:rPr>
          <w:rFonts w:asciiTheme="majorBidi" w:hAnsiTheme="majorBidi" w:cs="Times New Roman"/>
          <w:sz w:val="24"/>
          <w:szCs w:val="24"/>
        </w:rPr>
        <w:t xml:space="preserve">patocyte et leur </w:t>
      </w:r>
      <w:r w:rsidRPr="0029010A">
        <w:rPr>
          <w:rFonts w:asciiTheme="majorBidi" w:hAnsiTheme="majorBidi" w:cs="Times New Roman"/>
          <w:sz w:val="24"/>
          <w:szCs w:val="24"/>
        </w:rPr>
        <w:t xml:space="preserve">élévation est synonyme d’une atteinte hépatique. </w:t>
      </w:r>
    </w:p>
    <w:p w:rsidR="00034C57" w:rsidRPr="006175E0" w:rsidRDefault="00034C57" w:rsidP="00ED3E7B">
      <w:pPr>
        <w:spacing w:line="360" w:lineRule="auto"/>
        <w:ind w:firstLine="708"/>
        <w:jc w:val="both"/>
        <w:rPr>
          <w:rFonts w:asciiTheme="majorBidi" w:hAnsiTheme="majorBidi" w:cs="Times New Roman"/>
          <w:b/>
          <w:bCs/>
          <w:sz w:val="24"/>
          <w:szCs w:val="24"/>
        </w:rPr>
      </w:pPr>
      <w:r w:rsidRPr="0029010A">
        <w:rPr>
          <w:rFonts w:asciiTheme="majorBidi" w:hAnsiTheme="majorBidi" w:cs="Times New Roman"/>
          <w:sz w:val="24"/>
          <w:szCs w:val="24"/>
        </w:rPr>
        <w:t>L’atteinte hépatique liée au VHC est de sévérité variable selon la progression de la fibrose et peut, à terme être responsable d’une cirrhose suivie d’un hépato</w:t>
      </w:r>
      <w:r>
        <w:rPr>
          <w:rFonts w:asciiTheme="majorBidi" w:hAnsiTheme="majorBidi" w:cs="Times New Roman"/>
          <w:sz w:val="24"/>
          <w:szCs w:val="24"/>
        </w:rPr>
        <w:t>-</w:t>
      </w:r>
      <w:r w:rsidRPr="0029010A">
        <w:rPr>
          <w:rFonts w:asciiTheme="majorBidi" w:hAnsiTheme="majorBidi" w:cs="Times New Roman"/>
          <w:sz w:val="24"/>
          <w:szCs w:val="24"/>
        </w:rPr>
        <w:t xml:space="preserve"> carcinome.</w:t>
      </w:r>
      <w:r w:rsidR="00ED3E7B">
        <w:rPr>
          <w:rFonts w:asciiTheme="majorBidi" w:hAnsiTheme="majorBidi" w:cs="Times New Roman"/>
          <w:sz w:val="24"/>
          <w:szCs w:val="24"/>
        </w:rPr>
        <w:t xml:space="preserve"> </w:t>
      </w:r>
      <w:r w:rsidRPr="0029010A">
        <w:rPr>
          <w:rFonts w:asciiTheme="majorBidi" w:hAnsiTheme="majorBidi" w:cs="Times New Roman"/>
          <w:sz w:val="24"/>
          <w:szCs w:val="24"/>
        </w:rPr>
        <w:t xml:space="preserve">La cirrhose du foie est le risque majeur du développement d’un hépato carcinome puisque 70 à 90% des cancers du foie se développent dans un foie cirrhotique. Ce risque peut être majoré si d’éventuels co-facteurs sont associés, tels que l’âge </w:t>
      </w:r>
      <w:r>
        <w:rPr>
          <w:rFonts w:ascii="Times New Roman" w:hAnsi="Times New Roman" w:cs="Times New Roman"/>
          <w:sz w:val="24"/>
          <w:szCs w:val="24"/>
        </w:rPr>
        <w:t>lors de l’infection, le sexe, la co-infection par le virus de l’hépatite B (VHB), le virus de l’immunodéficience humaine (VIH) ou une consommation importante d’alcool</w:t>
      </w:r>
      <w:r w:rsidR="00ED3E7B">
        <w:rPr>
          <w:rFonts w:ascii="Times New Roman" w:hAnsi="Times New Roman" w:cs="Times New Roman"/>
          <w:sz w:val="24"/>
          <w:szCs w:val="24"/>
        </w:rPr>
        <w:t xml:space="preserve"> </w:t>
      </w:r>
      <w:r w:rsidRPr="00F921E8">
        <w:rPr>
          <w:rFonts w:ascii="Times New Roman" w:hAnsi="Times New Roman" w:cs="Times New Roman"/>
          <w:b/>
          <w:bCs/>
          <w:sz w:val="24"/>
          <w:szCs w:val="24"/>
        </w:rPr>
        <w:t>(Depla, 2011</w:t>
      </w:r>
      <w:r>
        <w:rPr>
          <w:rFonts w:ascii="Times New Roman" w:hAnsi="Times New Roman" w:cs="Times New Roman"/>
          <w:b/>
          <w:bCs/>
          <w:sz w:val="24"/>
          <w:szCs w:val="24"/>
        </w:rPr>
        <w:t xml:space="preserve"> ; </w:t>
      </w:r>
      <w:r w:rsidRPr="00F921E8">
        <w:rPr>
          <w:rFonts w:ascii="Times New Roman" w:hAnsi="Times New Roman" w:cs="Times New Roman"/>
          <w:b/>
          <w:bCs/>
          <w:sz w:val="24"/>
          <w:szCs w:val="24"/>
        </w:rPr>
        <w:t>Benbria, 2010</w:t>
      </w:r>
      <w:r>
        <w:rPr>
          <w:rFonts w:ascii="Times New Roman" w:hAnsi="Times New Roman" w:cs="Times New Roman"/>
          <w:b/>
          <w:bCs/>
          <w:sz w:val="24"/>
          <w:szCs w:val="24"/>
        </w:rPr>
        <w:t> ; W</w:t>
      </w:r>
      <w:r w:rsidRPr="00F921E8">
        <w:rPr>
          <w:rFonts w:ascii="Times New Roman" w:hAnsi="Times New Roman" w:cs="Times New Roman"/>
          <w:b/>
          <w:bCs/>
          <w:sz w:val="24"/>
          <w:szCs w:val="24"/>
        </w:rPr>
        <w:t>alic, 2013).</w:t>
      </w:r>
    </w:p>
    <w:p w:rsidR="00034C57" w:rsidRDefault="00034C57" w:rsidP="00034C57">
      <w:pPr>
        <w:pStyle w:val="Default"/>
        <w:spacing w:line="360" w:lineRule="auto"/>
        <w:jc w:val="both"/>
      </w:pPr>
    </w:p>
    <w:p w:rsidR="00034C57" w:rsidRDefault="00034C57" w:rsidP="00034C57">
      <w:pPr>
        <w:jc w:val="both"/>
        <w:rPr>
          <w:rFonts w:asciiTheme="majorBidi" w:hAnsiTheme="majorBidi" w:cs="Times New Roman"/>
          <w:b/>
          <w:bCs/>
          <w:sz w:val="24"/>
          <w:szCs w:val="24"/>
        </w:rPr>
      </w:pPr>
    </w:p>
    <w:p w:rsidR="00034C57" w:rsidRDefault="00034C57" w:rsidP="00034C57">
      <w:pPr>
        <w:rPr>
          <w:rFonts w:asciiTheme="majorBidi" w:hAnsiTheme="majorBidi" w:cs="Times New Roman"/>
          <w:sz w:val="24"/>
          <w:szCs w:val="24"/>
        </w:rPr>
      </w:pPr>
    </w:p>
    <w:p w:rsidR="00034C57" w:rsidRDefault="00034C57" w:rsidP="00034C57">
      <w:pPr>
        <w:jc w:val="center"/>
        <w:rPr>
          <w:rFonts w:ascii="Times New Roman" w:hAnsi="Times New Roman" w:cs="Times New Roman"/>
          <w:b/>
          <w:bCs/>
          <w:iCs/>
          <w:sz w:val="23"/>
          <w:szCs w:val="23"/>
        </w:rPr>
      </w:pPr>
    </w:p>
    <w:p w:rsidR="00034C57" w:rsidRDefault="00034C57" w:rsidP="00034C57">
      <w:pPr>
        <w:jc w:val="center"/>
        <w:rPr>
          <w:rFonts w:ascii="Times New Roman" w:hAnsi="Times New Roman" w:cs="Times New Roman"/>
          <w:b/>
          <w:bCs/>
          <w:iCs/>
          <w:sz w:val="23"/>
          <w:szCs w:val="23"/>
        </w:rPr>
      </w:pPr>
    </w:p>
    <w:p w:rsidR="00034C57" w:rsidRDefault="00034C57" w:rsidP="00034C57">
      <w:pPr>
        <w:jc w:val="center"/>
        <w:rPr>
          <w:rFonts w:ascii="Times New Roman" w:hAnsi="Times New Roman" w:cs="Times New Roman"/>
          <w:iCs/>
          <w:sz w:val="24"/>
          <w:szCs w:val="24"/>
        </w:rPr>
      </w:pPr>
    </w:p>
    <w:p w:rsidR="00034C57" w:rsidRPr="0087017E" w:rsidRDefault="00034C57" w:rsidP="00034C57">
      <w:pPr>
        <w:jc w:val="center"/>
        <w:rPr>
          <w:rFonts w:ascii="Times New Roman" w:hAnsi="Times New Roman" w:cs="Times New Roman"/>
          <w:iCs/>
          <w:sz w:val="24"/>
          <w:szCs w:val="24"/>
        </w:rPr>
      </w:pPr>
    </w:p>
    <w:p w:rsidR="00034C57" w:rsidRPr="00F921E8" w:rsidRDefault="00034C57" w:rsidP="00034C57">
      <w:pPr>
        <w:jc w:val="center"/>
        <w:rPr>
          <w:rFonts w:asciiTheme="majorBidi" w:hAnsiTheme="majorBidi" w:cs="Times New Roman"/>
          <w:b/>
          <w:bCs/>
          <w:iCs/>
          <w:sz w:val="24"/>
          <w:szCs w:val="24"/>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034C57" w:rsidRDefault="00034C57" w:rsidP="00034C57">
      <w:pPr>
        <w:autoSpaceDE w:val="0"/>
        <w:autoSpaceDN w:val="0"/>
        <w:adjustRightInd w:val="0"/>
        <w:spacing w:after="0" w:line="360" w:lineRule="auto"/>
        <w:jc w:val="both"/>
        <w:rPr>
          <w:rFonts w:ascii="Times New Roman" w:hAnsi="Times New Roman" w:cs="Times New Roman"/>
          <w:sz w:val="20"/>
          <w:szCs w:val="20"/>
        </w:rPr>
      </w:pPr>
    </w:p>
    <w:p w:rsidR="0057792C" w:rsidRPr="007A513A" w:rsidRDefault="0057792C" w:rsidP="00034C57">
      <w:pPr>
        <w:autoSpaceDE w:val="0"/>
        <w:autoSpaceDN w:val="0"/>
        <w:adjustRightInd w:val="0"/>
        <w:spacing w:after="0" w:line="360" w:lineRule="auto"/>
        <w:jc w:val="both"/>
        <w:rPr>
          <w:rFonts w:ascii="Times New Roman" w:hAnsi="Times New Roman" w:cs="Times New Roman"/>
          <w:sz w:val="20"/>
          <w:szCs w:val="20"/>
        </w:rPr>
      </w:pPr>
    </w:p>
    <w:p w:rsidR="00034C57" w:rsidRPr="00BC34ED" w:rsidRDefault="00034C57" w:rsidP="00034C57">
      <w:pPr>
        <w:autoSpaceDE w:val="0"/>
        <w:autoSpaceDN w:val="0"/>
        <w:adjustRightInd w:val="0"/>
        <w:spacing w:after="0" w:line="360" w:lineRule="auto"/>
        <w:jc w:val="both"/>
        <w:rPr>
          <w:rFonts w:ascii="Times New Roman" w:hAnsi="Times New Roman" w:cs="Times New Roman"/>
          <w:b/>
          <w:sz w:val="24"/>
          <w:szCs w:val="24"/>
        </w:rPr>
      </w:pPr>
    </w:p>
    <w:p w:rsidR="00034C57" w:rsidRPr="00434C12" w:rsidRDefault="00034C57" w:rsidP="00034C57">
      <w:pPr>
        <w:autoSpaceDE w:val="0"/>
        <w:autoSpaceDN w:val="0"/>
        <w:adjustRightInd w:val="0"/>
        <w:spacing w:after="0" w:line="360" w:lineRule="auto"/>
        <w:rPr>
          <w:rFonts w:ascii="Times New Roman" w:hAnsi="Times New Roman" w:cs="Times New Roman"/>
          <w:b/>
          <w:bCs/>
          <w:sz w:val="28"/>
          <w:szCs w:val="28"/>
        </w:rPr>
      </w:pPr>
      <w:r w:rsidRPr="00434C12">
        <w:rPr>
          <w:rFonts w:ascii="Times New Roman" w:hAnsi="Times New Roman" w:cs="Times New Roman"/>
          <w:b/>
          <w:bCs/>
          <w:sz w:val="28"/>
          <w:szCs w:val="28"/>
        </w:rPr>
        <w:lastRenderedPageBreak/>
        <w:t>II. Le foie : organe central du métabolisme lipidique</w:t>
      </w:r>
    </w:p>
    <w:p w:rsidR="00034C57" w:rsidRDefault="00034C57" w:rsidP="00034C57">
      <w:pPr>
        <w:pStyle w:val="Paragraphedeliste"/>
        <w:numPr>
          <w:ilvl w:val="0"/>
          <w:numId w:val="3"/>
        </w:numPr>
        <w:autoSpaceDE w:val="0"/>
        <w:autoSpaceDN w:val="0"/>
        <w:adjustRightInd w:val="0"/>
        <w:spacing w:after="0" w:line="360" w:lineRule="auto"/>
        <w:rPr>
          <w:rFonts w:ascii="Times New Roman" w:hAnsi="Times New Roman" w:cs="Times New Roman"/>
          <w:b/>
          <w:bCs/>
          <w:sz w:val="28"/>
          <w:szCs w:val="28"/>
        </w:rPr>
      </w:pPr>
      <w:r w:rsidRPr="009B45EC">
        <w:rPr>
          <w:rFonts w:ascii="Times New Roman" w:hAnsi="Times New Roman" w:cs="Times New Roman"/>
          <w:b/>
          <w:bCs/>
          <w:sz w:val="24"/>
          <w:szCs w:val="24"/>
        </w:rPr>
        <w:t>Anatomie</w:t>
      </w:r>
      <w:r w:rsidRPr="009B45EC">
        <w:rPr>
          <w:rFonts w:ascii="Times New Roman" w:hAnsi="Times New Roman" w:cs="Times New Roman"/>
          <w:b/>
          <w:bCs/>
          <w:sz w:val="28"/>
          <w:szCs w:val="28"/>
        </w:rPr>
        <w:t xml:space="preserve"> : </w:t>
      </w:r>
    </w:p>
    <w:p w:rsidR="00034C57" w:rsidRPr="00ED3E7B" w:rsidRDefault="009B673C" w:rsidP="00ED3E7B">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 xml:space="preserve">  </w:t>
      </w:r>
      <w:r w:rsidR="00034C57" w:rsidRPr="008F7427">
        <w:rPr>
          <w:rFonts w:ascii="Times New Roman" w:hAnsi="Times New Roman" w:cs="Times New Roman"/>
          <w:bCs/>
          <w:sz w:val="24"/>
          <w:szCs w:val="24"/>
        </w:rPr>
        <w:t>L</w:t>
      </w:r>
      <w:r w:rsidR="00034C57" w:rsidRPr="008F7427">
        <w:rPr>
          <w:rFonts w:ascii="Times New Roman" w:hAnsi="Times New Roman" w:cs="Times New Roman"/>
          <w:sz w:val="24"/>
          <w:szCs w:val="24"/>
        </w:rPr>
        <w:t>e foie est un organe plein s</w:t>
      </w:r>
      <w:r w:rsidR="00ED3E7B">
        <w:rPr>
          <w:rFonts w:ascii="Times New Roman" w:hAnsi="Times New Roman" w:cs="Times New Roman"/>
          <w:sz w:val="24"/>
          <w:szCs w:val="24"/>
        </w:rPr>
        <w:t xml:space="preserve">itué dans la cavité abdominale. </w:t>
      </w:r>
      <w:r w:rsidR="00034C57" w:rsidRPr="008F7427">
        <w:rPr>
          <w:rFonts w:ascii="Times New Roman" w:hAnsi="Times New Roman" w:cs="Times New Roman"/>
          <w:sz w:val="24"/>
          <w:szCs w:val="24"/>
        </w:rPr>
        <w:t>C’est le plus gros des organes humains. Son poids est supérieur à 2kg dont 800 à 900g de sang, il mesure en moyenne 28 cm dans le sens transversal, 16cm dans le sens antéropostérieur et 8 cm d’épaisseur</w:t>
      </w:r>
      <w:r w:rsidR="00034C57" w:rsidRPr="008F7427">
        <w:rPr>
          <w:rFonts w:ascii="Times New Roman" w:hAnsi="Times New Roman" w:cs="Times New Roman"/>
          <w:b/>
          <w:bCs/>
          <w:sz w:val="24"/>
          <w:szCs w:val="24"/>
        </w:rPr>
        <w:t xml:space="preserve"> (Zidani, 2011).</w:t>
      </w:r>
    </w:p>
    <w:p w:rsidR="00034C57" w:rsidRDefault="00ED3E7B" w:rsidP="00034C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673C">
        <w:rPr>
          <w:rFonts w:ascii="Times New Roman" w:hAnsi="Times New Roman" w:cs="Times New Roman"/>
          <w:sz w:val="24"/>
          <w:szCs w:val="24"/>
        </w:rPr>
        <w:t xml:space="preserve"> </w:t>
      </w:r>
      <w:r w:rsidR="00034C57">
        <w:rPr>
          <w:rFonts w:ascii="Times New Roman" w:hAnsi="Times New Roman" w:cs="Times New Roman"/>
          <w:sz w:val="24"/>
          <w:szCs w:val="24"/>
        </w:rPr>
        <w:t>Le foie est enveloppé d</w:t>
      </w:r>
      <w:r w:rsidR="00034C57">
        <w:rPr>
          <w:rFonts w:ascii="Times New Roman" w:eastAsia="TimesNewRoman" w:hAnsi="Times New Roman" w:cs="Times New Roman"/>
          <w:sz w:val="24"/>
          <w:szCs w:val="24"/>
        </w:rPr>
        <w:t>’</w:t>
      </w:r>
      <w:r w:rsidR="00034C57">
        <w:rPr>
          <w:rFonts w:ascii="Times New Roman" w:hAnsi="Times New Roman" w:cs="Times New Roman"/>
          <w:sz w:val="24"/>
          <w:szCs w:val="24"/>
        </w:rPr>
        <w:t>une capsule de tissu conjonctif appelé capsule de Glisson, surmontée de péritoine viscéral. C</w:t>
      </w:r>
      <w:r w:rsidR="00034C57">
        <w:rPr>
          <w:rFonts w:ascii="Times New Roman" w:eastAsia="TimesNewRoman" w:hAnsi="Times New Roman" w:cs="Times New Roman"/>
          <w:sz w:val="24"/>
          <w:szCs w:val="24"/>
        </w:rPr>
        <w:t>’</w:t>
      </w:r>
      <w:r w:rsidR="00034C57">
        <w:rPr>
          <w:rFonts w:ascii="Times New Roman" w:hAnsi="Times New Roman" w:cs="Times New Roman"/>
          <w:sz w:val="24"/>
          <w:szCs w:val="24"/>
        </w:rPr>
        <w:t>est donc un organe intra péritonéal jusqu'à l</w:t>
      </w:r>
      <w:r w:rsidR="00034C57">
        <w:rPr>
          <w:rFonts w:ascii="Times New Roman" w:eastAsia="TimesNewRoman" w:hAnsi="Times New Roman" w:cs="Times New Roman"/>
          <w:sz w:val="24"/>
          <w:szCs w:val="24"/>
        </w:rPr>
        <w:t>’</w:t>
      </w:r>
      <w:r w:rsidR="00034C57">
        <w:rPr>
          <w:rFonts w:ascii="Times New Roman" w:hAnsi="Times New Roman" w:cs="Times New Roman"/>
          <w:sz w:val="24"/>
          <w:szCs w:val="24"/>
        </w:rPr>
        <w:t>area nuda (zone nue) non péritonéaux du foie centrée sur la veine cave inférieure, en contact avec la glande surrénale droite et adhérente au diaphragme par du tissu conjonctif de sort que le foie est ancré dans la cavité péritonéale. L</w:t>
      </w:r>
      <w:r w:rsidR="00034C57">
        <w:rPr>
          <w:rFonts w:ascii="Times New Roman" w:eastAsia="TimesNewRoman" w:hAnsi="Times New Roman" w:cs="Times New Roman"/>
          <w:sz w:val="24"/>
          <w:szCs w:val="24"/>
        </w:rPr>
        <w:t>’</w:t>
      </w:r>
      <w:r w:rsidR="00034C57">
        <w:rPr>
          <w:rFonts w:ascii="Times New Roman" w:hAnsi="Times New Roman" w:cs="Times New Roman"/>
          <w:sz w:val="24"/>
          <w:szCs w:val="24"/>
        </w:rPr>
        <w:t xml:space="preserve">area nuda est limitée par les deux feuillets du ligament coronaire qui converge en ligament triangulaire droit </w:t>
      </w:r>
      <w:r w:rsidR="00034C57" w:rsidRPr="00264665">
        <w:rPr>
          <w:rFonts w:ascii="Times New Roman" w:hAnsi="Times New Roman" w:cs="Times New Roman"/>
          <w:b/>
          <w:bCs/>
          <w:sz w:val="24"/>
          <w:szCs w:val="24"/>
        </w:rPr>
        <w:t>(</w:t>
      </w:r>
      <w:r w:rsidR="00034C57" w:rsidRPr="00AF7A79">
        <w:rPr>
          <w:rFonts w:asciiTheme="majorBidi" w:hAnsiTheme="majorBidi" w:cs="Times New Roman"/>
          <w:b/>
          <w:bCs/>
          <w:color w:val="000000"/>
          <w:sz w:val="24"/>
          <w:szCs w:val="24"/>
          <w:lang w:eastAsia="fr-FR"/>
        </w:rPr>
        <w:t>Baghriche</w:t>
      </w:r>
      <w:r w:rsidR="00034C57">
        <w:rPr>
          <w:rFonts w:asciiTheme="majorBidi" w:hAnsiTheme="majorBidi" w:cs="Times New Roman"/>
          <w:b/>
          <w:bCs/>
          <w:color w:val="000000"/>
          <w:sz w:val="24"/>
          <w:szCs w:val="24"/>
          <w:lang w:eastAsia="fr-FR"/>
        </w:rPr>
        <w:t>, 2001). </w:t>
      </w:r>
    </w:p>
    <w:p w:rsidR="00034C57" w:rsidRDefault="00034C57" w:rsidP="00034C57">
      <w:pPr>
        <w:jc w:val="both"/>
        <w:rPr>
          <w:rFonts w:ascii="Times New Roman" w:hAnsi="Times New Roman" w:cs="Times New Roman"/>
          <w:b/>
          <w:bCs/>
          <w:sz w:val="24"/>
          <w:szCs w:val="24"/>
        </w:rPr>
      </w:pPr>
    </w:p>
    <w:p w:rsidR="00034C57" w:rsidRDefault="00034C57" w:rsidP="00034C57">
      <w:pPr>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4857750" cy="2743200"/>
            <wp:effectExtent l="19050" t="1905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2743200"/>
                    </a:xfrm>
                    <a:prstGeom prst="rect">
                      <a:avLst/>
                    </a:prstGeom>
                    <a:noFill/>
                    <a:ln w="9525" cmpd="sng">
                      <a:solidFill>
                        <a:srgbClr val="000000"/>
                      </a:solidFill>
                      <a:miter lim="800000"/>
                      <a:headEnd/>
                      <a:tailEnd/>
                    </a:ln>
                    <a:effectLst/>
                  </pic:spPr>
                </pic:pic>
              </a:graphicData>
            </a:graphic>
          </wp:inline>
        </w:drawing>
      </w:r>
    </w:p>
    <w:p w:rsidR="00034C57" w:rsidRDefault="00034C57" w:rsidP="00034C57">
      <w:pPr>
        <w:autoSpaceDE w:val="0"/>
        <w:autoSpaceDN w:val="0"/>
        <w:adjustRightInd w:val="0"/>
        <w:spacing w:after="0" w:line="240" w:lineRule="auto"/>
        <w:jc w:val="center"/>
      </w:pPr>
      <w:r w:rsidRPr="00EA757A">
        <w:rPr>
          <w:rFonts w:ascii="Times New Roman" w:hAnsi="Times New Roman" w:cs="Times New Roman"/>
          <w:b/>
          <w:bCs/>
          <w:sz w:val="24"/>
          <w:szCs w:val="24"/>
        </w:rPr>
        <w:t>Figure I.</w:t>
      </w:r>
      <w:r>
        <w:rPr>
          <w:rFonts w:ascii="Times New Roman" w:hAnsi="Times New Roman" w:cs="Times New Roman"/>
          <w:b/>
          <w:bCs/>
          <w:sz w:val="24"/>
          <w:szCs w:val="24"/>
        </w:rPr>
        <w:t>8</w:t>
      </w:r>
      <w:r w:rsidRPr="00EA757A">
        <w:rPr>
          <w:rFonts w:ascii="Times New Roman" w:hAnsi="Times New Roman" w:cs="Times New Roman"/>
          <w:b/>
          <w:bCs/>
          <w:sz w:val="24"/>
          <w:szCs w:val="24"/>
        </w:rPr>
        <w:t>.</w:t>
      </w:r>
      <w:r w:rsidRPr="00EA757A">
        <w:rPr>
          <w:rFonts w:ascii="Times New Roman" w:hAnsi="Times New Roman" w:cs="Times New Roman"/>
          <w:sz w:val="24"/>
          <w:szCs w:val="24"/>
        </w:rPr>
        <w:t xml:space="preserve"> Anatomie du foie.</w:t>
      </w:r>
    </w:p>
    <w:p w:rsidR="00034C57" w:rsidRPr="00F3419C" w:rsidRDefault="00034C57" w:rsidP="00034C57">
      <w:pPr>
        <w:jc w:val="center"/>
        <w:rPr>
          <w:rFonts w:asciiTheme="majorBidi" w:hAnsiTheme="majorBidi" w:cs="Times New Roman"/>
        </w:rPr>
      </w:pPr>
      <w:r w:rsidRPr="00F3419C">
        <w:rPr>
          <w:rFonts w:asciiTheme="majorBidi" w:hAnsiTheme="majorBidi" w:cs="Times New Roman"/>
        </w:rPr>
        <w:t>(http://www.chuv.ch/transplantation/cto-patients-familles-foie-anatomie-et-physiologie.htm)</w:t>
      </w:r>
    </w:p>
    <w:p w:rsidR="00034C57" w:rsidRDefault="00034C57" w:rsidP="00034C57">
      <w:pPr>
        <w:pStyle w:val="Paragraphedeliste"/>
        <w:numPr>
          <w:ilvl w:val="0"/>
          <w:numId w:val="3"/>
        </w:numPr>
        <w:spacing w:line="360" w:lineRule="auto"/>
        <w:jc w:val="both"/>
        <w:rPr>
          <w:rFonts w:ascii="Times New Roman" w:hAnsi="Times New Roman" w:cs="Times New Roman"/>
          <w:b/>
          <w:bCs/>
          <w:sz w:val="24"/>
          <w:szCs w:val="24"/>
        </w:rPr>
      </w:pPr>
      <w:r w:rsidRPr="009B45EC">
        <w:rPr>
          <w:rFonts w:ascii="Times New Roman" w:hAnsi="Times New Roman" w:cs="Times New Roman"/>
          <w:b/>
          <w:bCs/>
          <w:sz w:val="24"/>
          <w:szCs w:val="24"/>
        </w:rPr>
        <w:t xml:space="preserve">Fonctions du foie </w:t>
      </w:r>
    </w:p>
    <w:p w:rsidR="00034C57" w:rsidRPr="006C6CA6" w:rsidRDefault="009B673C" w:rsidP="009B673C">
      <w:pPr>
        <w:spacing w:line="360" w:lineRule="auto"/>
        <w:ind w:firstLine="708"/>
        <w:jc w:val="both"/>
        <w:rPr>
          <w:rFonts w:ascii="Times New Roman" w:hAnsi="Times New Roman" w:cs="Times New Roman"/>
          <w:b/>
          <w:bCs/>
          <w:color w:val="FF0000"/>
          <w:sz w:val="24"/>
          <w:szCs w:val="24"/>
        </w:rPr>
      </w:pPr>
      <w:r>
        <w:rPr>
          <w:rFonts w:ascii="Times New Roman" w:hAnsi="Times New Roman" w:cs="Times New Roman"/>
          <w:sz w:val="24"/>
          <w:szCs w:val="24"/>
        </w:rPr>
        <w:t xml:space="preserve">    </w:t>
      </w:r>
      <w:r w:rsidR="00034C57" w:rsidRPr="008F7427">
        <w:rPr>
          <w:rFonts w:ascii="Times New Roman" w:hAnsi="Times New Roman" w:cs="Times New Roman"/>
          <w:sz w:val="24"/>
          <w:szCs w:val="24"/>
        </w:rPr>
        <w:t xml:space="preserve">Le foie effectue près de 500 fonctions vitales. Il joue un rôle dans la digestion, le métabolisme des glucides et des lipides et dans le système de défense immunitaire du corps. Il transforme presque tout ce qu’une personne mange, respire ou que sa peau absorbe. Environ 90 % des nutriments du corps passent par le foie en provenance des intestins. Le foie convertit les aliments en énergie, emmagasine les nutriments et produit des protéines sanguines. Le foie agit également comme filtre pour éliminer les agents pathogènes et les toxines du sang. Dans le fœtus </w:t>
      </w:r>
      <w:r w:rsidR="00034C57" w:rsidRPr="008F7427">
        <w:rPr>
          <w:rFonts w:ascii="Times New Roman" w:hAnsi="Times New Roman" w:cs="Times New Roman"/>
          <w:sz w:val="24"/>
          <w:szCs w:val="24"/>
        </w:rPr>
        <w:lastRenderedPageBreak/>
        <w:t>en développement, les cellules sangui</w:t>
      </w:r>
      <w:r w:rsidR="00034C57">
        <w:rPr>
          <w:rFonts w:ascii="Times New Roman" w:hAnsi="Times New Roman" w:cs="Times New Roman"/>
          <w:sz w:val="24"/>
          <w:szCs w:val="24"/>
        </w:rPr>
        <w:t xml:space="preserve">nes sont produites par le foie </w:t>
      </w:r>
      <w:r w:rsidR="00797475" w:rsidRPr="00106BEE">
        <w:rPr>
          <w:rFonts w:ascii="Times New Roman" w:hAnsi="Times New Roman" w:cs="Times New Roman"/>
          <w:b/>
          <w:bCs/>
          <w:sz w:val="24"/>
          <w:szCs w:val="24"/>
        </w:rPr>
        <w:t>(</w:t>
      </w:r>
      <w:r w:rsidR="00797475" w:rsidRPr="004B3AAF">
        <w:rPr>
          <w:rFonts w:asciiTheme="majorBidi" w:hAnsiTheme="majorBidi" w:cstheme="majorBidi"/>
          <w:b/>
          <w:bCs/>
          <w:sz w:val="24"/>
          <w:szCs w:val="24"/>
        </w:rPr>
        <w:t>Highleyman</w:t>
      </w:r>
      <w:r w:rsidR="00797475">
        <w:rPr>
          <w:rFonts w:asciiTheme="majorBidi" w:hAnsiTheme="majorBidi" w:cstheme="majorBidi"/>
          <w:b/>
          <w:bCs/>
          <w:sz w:val="24"/>
          <w:szCs w:val="24"/>
        </w:rPr>
        <w:t xml:space="preserve"> et</w:t>
      </w:r>
      <w:r>
        <w:rPr>
          <w:rFonts w:asciiTheme="majorBidi" w:hAnsiTheme="majorBidi" w:cstheme="majorBidi"/>
          <w:b/>
          <w:bCs/>
          <w:sz w:val="24"/>
          <w:szCs w:val="24"/>
        </w:rPr>
        <w:t xml:space="preserve"> </w:t>
      </w:r>
      <w:r w:rsidR="00797475" w:rsidRPr="004B3AAF">
        <w:rPr>
          <w:rFonts w:asciiTheme="majorBidi" w:hAnsiTheme="majorBidi" w:cstheme="majorBidi"/>
          <w:b/>
          <w:bCs/>
          <w:sz w:val="24"/>
          <w:szCs w:val="24"/>
        </w:rPr>
        <w:t>Franciscus</w:t>
      </w:r>
      <w:r w:rsidR="00797475">
        <w:rPr>
          <w:rFonts w:asciiTheme="majorBidi" w:hAnsiTheme="majorBidi" w:cstheme="majorBidi"/>
          <w:b/>
          <w:bCs/>
          <w:sz w:val="24"/>
          <w:szCs w:val="24"/>
        </w:rPr>
        <w:t>, 2004)</w:t>
      </w:r>
      <w:r w:rsidR="00797475" w:rsidRPr="008F7427">
        <w:rPr>
          <w:rFonts w:ascii="Times New Roman" w:hAnsi="Times New Roman" w:cs="Times New Roman"/>
          <w:sz w:val="24"/>
          <w:szCs w:val="24"/>
        </w:rPr>
        <w:t>.</w:t>
      </w:r>
    </w:p>
    <w:p w:rsidR="00034C57" w:rsidRPr="00954E8C" w:rsidRDefault="00034C57" w:rsidP="00034C57">
      <w:pPr>
        <w:pStyle w:val="Paragraphedeliste"/>
        <w:numPr>
          <w:ilvl w:val="0"/>
          <w:numId w:val="3"/>
        </w:numPr>
        <w:autoSpaceDE w:val="0"/>
        <w:autoSpaceDN w:val="0"/>
        <w:adjustRightInd w:val="0"/>
        <w:spacing w:after="0" w:line="360" w:lineRule="auto"/>
        <w:jc w:val="both"/>
        <w:rPr>
          <w:rFonts w:asciiTheme="majorBidi" w:hAnsiTheme="majorBidi" w:cs="Times New Roman"/>
          <w:b/>
          <w:bCs/>
          <w:sz w:val="24"/>
          <w:szCs w:val="24"/>
        </w:rPr>
      </w:pPr>
      <w:r w:rsidRPr="00954E8C">
        <w:rPr>
          <w:rFonts w:asciiTheme="majorBidi" w:hAnsiTheme="majorBidi" w:cs="Times New Roman"/>
          <w:b/>
          <w:bCs/>
          <w:sz w:val="24"/>
          <w:szCs w:val="24"/>
        </w:rPr>
        <w:t xml:space="preserve">Foie et métabolisme des lipides </w:t>
      </w:r>
    </w:p>
    <w:p w:rsidR="00034C57" w:rsidRPr="00954E8C" w:rsidRDefault="00034C57" w:rsidP="00034C57">
      <w:pPr>
        <w:pStyle w:val="Paragraphedeliste"/>
        <w:numPr>
          <w:ilvl w:val="1"/>
          <w:numId w:val="3"/>
        </w:numPr>
        <w:autoSpaceDE w:val="0"/>
        <w:autoSpaceDN w:val="0"/>
        <w:adjustRightInd w:val="0"/>
        <w:spacing w:after="0" w:line="360" w:lineRule="auto"/>
        <w:jc w:val="both"/>
        <w:rPr>
          <w:rFonts w:asciiTheme="majorBidi" w:hAnsiTheme="majorBidi" w:cs="Times New Roman"/>
          <w:b/>
          <w:bCs/>
          <w:sz w:val="24"/>
          <w:szCs w:val="24"/>
        </w:rPr>
      </w:pPr>
      <w:r w:rsidRPr="00954E8C">
        <w:rPr>
          <w:rFonts w:asciiTheme="majorBidi" w:hAnsiTheme="majorBidi" w:cs="Times New Roman"/>
          <w:b/>
          <w:bCs/>
          <w:sz w:val="24"/>
          <w:szCs w:val="24"/>
        </w:rPr>
        <w:t xml:space="preserve">Les lipides </w:t>
      </w:r>
    </w:p>
    <w:p w:rsidR="00034C57" w:rsidRDefault="009B673C" w:rsidP="009B673C">
      <w:pPr>
        <w:autoSpaceDE w:val="0"/>
        <w:autoSpaceDN w:val="0"/>
        <w:adjustRightInd w:val="0"/>
        <w:spacing w:after="0" w:line="360" w:lineRule="auto"/>
        <w:ind w:firstLine="708"/>
        <w:jc w:val="both"/>
        <w:rPr>
          <w:rFonts w:asciiTheme="majorBidi" w:hAnsiTheme="majorBidi" w:cs="Times New Roman"/>
          <w:b/>
          <w:bCs/>
          <w:sz w:val="24"/>
          <w:szCs w:val="24"/>
        </w:rPr>
      </w:pPr>
      <w:r>
        <w:rPr>
          <w:rFonts w:asciiTheme="majorBidi" w:hAnsiTheme="majorBidi" w:cs="Times New Roman"/>
          <w:color w:val="000000"/>
          <w:sz w:val="24"/>
          <w:szCs w:val="24"/>
        </w:rPr>
        <w:t xml:space="preserve">    </w:t>
      </w:r>
      <w:r w:rsidR="00034C57" w:rsidRPr="00954E8C">
        <w:rPr>
          <w:rFonts w:asciiTheme="majorBidi" w:hAnsiTheme="majorBidi" w:cs="Times New Roman"/>
          <w:color w:val="000000"/>
          <w:sz w:val="24"/>
          <w:szCs w:val="24"/>
        </w:rPr>
        <w:t xml:space="preserve">Les lipides constituent une famille hétérogène de molécules hydrophobes, </w:t>
      </w:r>
      <w:r w:rsidR="00034C57" w:rsidRPr="00954E8C">
        <w:rPr>
          <w:rFonts w:asciiTheme="majorBidi" w:hAnsiTheme="majorBidi" w:cs="Times New Roman"/>
          <w:sz w:val="24"/>
          <w:szCs w:val="24"/>
        </w:rPr>
        <w:t>insolubles dans les milieux aqueux biologiques.</w:t>
      </w:r>
      <w:r w:rsidR="00034C57" w:rsidRPr="00954E8C">
        <w:rPr>
          <w:rFonts w:asciiTheme="majorBidi" w:hAnsiTheme="majorBidi" w:cs="Times New Roman"/>
          <w:color w:val="000000"/>
          <w:sz w:val="24"/>
          <w:szCs w:val="24"/>
        </w:rPr>
        <w:t xml:space="preserve"> Ils sont véhiculés à travers les divers compartiments extracellulaires de l’organisme (plasma, lymphe et liquide interstitiel). </w:t>
      </w:r>
      <w:r w:rsidR="00034C57" w:rsidRPr="00954E8C">
        <w:rPr>
          <w:rFonts w:asciiTheme="majorBidi" w:hAnsiTheme="majorBidi" w:cs="Times New Roman"/>
          <w:b/>
          <w:bCs/>
          <w:color w:val="000000"/>
          <w:sz w:val="24"/>
          <w:szCs w:val="24"/>
        </w:rPr>
        <w:t>(Lagrost</w:t>
      </w:r>
      <w:r w:rsidR="00034C57" w:rsidRPr="00954E8C">
        <w:rPr>
          <w:rFonts w:asciiTheme="majorBidi" w:hAnsiTheme="majorBidi" w:cs="Times New Roman"/>
          <w:b/>
          <w:bCs/>
          <w:i/>
          <w:iCs/>
          <w:color w:val="000000"/>
          <w:sz w:val="24"/>
          <w:szCs w:val="24"/>
        </w:rPr>
        <w:t>et al</w:t>
      </w:r>
      <w:r w:rsidR="00034C57" w:rsidRPr="00954E8C">
        <w:rPr>
          <w:rFonts w:asciiTheme="majorBidi" w:hAnsiTheme="majorBidi" w:cs="Times New Roman"/>
          <w:b/>
          <w:bCs/>
          <w:color w:val="000000"/>
          <w:sz w:val="24"/>
          <w:szCs w:val="24"/>
        </w:rPr>
        <w:t xml:space="preserve">., 2005). </w:t>
      </w:r>
      <w:r w:rsidR="00034C57" w:rsidRPr="00954E8C">
        <w:rPr>
          <w:rFonts w:asciiTheme="majorBidi" w:hAnsiTheme="majorBidi" w:cs="Times New Roman"/>
          <w:color w:val="000000"/>
          <w:sz w:val="24"/>
          <w:szCs w:val="24"/>
        </w:rPr>
        <w:t>Ils</w:t>
      </w:r>
      <w:r w:rsidR="00034C57" w:rsidRPr="00954E8C">
        <w:rPr>
          <w:rStyle w:val="apple-converted-space"/>
          <w:rFonts w:asciiTheme="majorBidi" w:hAnsiTheme="majorBidi"/>
          <w:color w:val="000000"/>
          <w:sz w:val="24"/>
          <w:szCs w:val="24"/>
        </w:rPr>
        <w:t> </w:t>
      </w:r>
      <w:r w:rsidR="00034C57" w:rsidRPr="00954E8C">
        <w:rPr>
          <w:rFonts w:asciiTheme="majorBidi" w:hAnsiTheme="majorBidi" w:cs="Times New Roman"/>
          <w:sz w:val="24"/>
          <w:szCs w:val="24"/>
        </w:rPr>
        <w:t xml:space="preserve">jouent un rôle primordial en tant que réserve énergétique la plus efficace pour l’organisme  </w:t>
      </w:r>
      <w:r w:rsidR="00034C57" w:rsidRPr="00954E8C">
        <w:rPr>
          <w:rFonts w:asciiTheme="majorBidi" w:hAnsiTheme="majorBidi" w:cs="Times New Roman"/>
          <w:b/>
          <w:bCs/>
          <w:sz w:val="24"/>
          <w:szCs w:val="24"/>
        </w:rPr>
        <w:t xml:space="preserve">(Awde, 2014). </w:t>
      </w:r>
      <w:r w:rsidR="00034C57" w:rsidRPr="00954E8C">
        <w:rPr>
          <w:rFonts w:asciiTheme="majorBidi" w:hAnsiTheme="majorBidi" w:cs="Times New Roman"/>
          <w:sz w:val="24"/>
          <w:szCs w:val="24"/>
        </w:rPr>
        <w:t xml:space="preserve">Leur stockage est essentiellement assuré par le tissu adipeux. Ils sont transportés dans la circulation sanguine au sein d’édifices macromoléculaires complexes : les lipoprotéines </w:t>
      </w:r>
      <w:r w:rsidR="00034C57" w:rsidRPr="00954E8C">
        <w:rPr>
          <w:rFonts w:asciiTheme="majorBidi" w:hAnsiTheme="majorBidi" w:cs="Times New Roman"/>
          <w:b/>
          <w:bCs/>
          <w:sz w:val="24"/>
          <w:szCs w:val="24"/>
        </w:rPr>
        <w:t>(Piodi, 2010).</w:t>
      </w:r>
    </w:p>
    <w:p w:rsidR="009B673C" w:rsidRPr="009B673C" w:rsidRDefault="009B673C" w:rsidP="009B673C">
      <w:pPr>
        <w:autoSpaceDE w:val="0"/>
        <w:autoSpaceDN w:val="0"/>
        <w:adjustRightInd w:val="0"/>
        <w:spacing w:after="0" w:line="360" w:lineRule="auto"/>
        <w:ind w:firstLine="708"/>
        <w:jc w:val="both"/>
        <w:rPr>
          <w:rFonts w:asciiTheme="majorBidi" w:hAnsiTheme="majorBidi" w:cs="Times New Roman"/>
          <w:b/>
          <w:bCs/>
          <w:sz w:val="24"/>
          <w:szCs w:val="24"/>
        </w:rPr>
      </w:pPr>
    </w:p>
    <w:p w:rsidR="00034C57" w:rsidRPr="00954E8C" w:rsidRDefault="00034C57" w:rsidP="00034C57">
      <w:pPr>
        <w:pStyle w:val="Paragraphedeliste"/>
        <w:numPr>
          <w:ilvl w:val="1"/>
          <w:numId w:val="3"/>
        </w:numPr>
        <w:autoSpaceDE w:val="0"/>
        <w:autoSpaceDN w:val="0"/>
        <w:adjustRightInd w:val="0"/>
        <w:spacing w:after="0" w:line="360" w:lineRule="auto"/>
        <w:jc w:val="both"/>
        <w:rPr>
          <w:rFonts w:ascii="Times New Roman" w:hAnsi="Times New Roman" w:cs="Times New Roman"/>
          <w:b/>
          <w:bCs/>
          <w:sz w:val="24"/>
          <w:szCs w:val="24"/>
        </w:rPr>
      </w:pPr>
      <w:r w:rsidRPr="00954E8C">
        <w:rPr>
          <w:rFonts w:ascii="Times New Roman" w:hAnsi="Times New Roman" w:cs="Times New Roman"/>
          <w:b/>
          <w:bCs/>
          <w:sz w:val="24"/>
          <w:szCs w:val="24"/>
        </w:rPr>
        <w:t xml:space="preserve">Les Lipoprotéines </w:t>
      </w:r>
    </w:p>
    <w:p w:rsidR="00034C57" w:rsidRDefault="009B673C" w:rsidP="009B673C">
      <w:pPr>
        <w:autoSpaceDE w:val="0"/>
        <w:autoSpaceDN w:val="0"/>
        <w:adjustRightInd w:val="0"/>
        <w:spacing w:after="0"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 xml:space="preserve">    </w:t>
      </w:r>
      <w:r w:rsidR="00034C57" w:rsidRPr="00954E8C">
        <w:rPr>
          <w:rFonts w:ascii="Times New Roman" w:hAnsi="Times New Roman" w:cs="Times New Roman"/>
          <w:sz w:val="24"/>
          <w:szCs w:val="24"/>
        </w:rPr>
        <w:t>Les lipoprotéines sont des édifices formés d’un cœur lipidique hydrophobe composé de T</w:t>
      </w:r>
      <w:r w:rsidR="00034C57">
        <w:rPr>
          <w:rFonts w:ascii="Times New Roman" w:hAnsi="Times New Roman" w:cs="Times New Roman"/>
          <w:sz w:val="24"/>
          <w:szCs w:val="24"/>
        </w:rPr>
        <w:t>riglycérides (T</w:t>
      </w:r>
      <w:r w:rsidR="00034C57" w:rsidRPr="00954E8C">
        <w:rPr>
          <w:rFonts w:ascii="Times New Roman" w:hAnsi="Times New Roman" w:cs="Times New Roman"/>
          <w:sz w:val="24"/>
          <w:szCs w:val="24"/>
        </w:rPr>
        <w:t>G</w:t>
      </w:r>
      <w:r w:rsidR="00034C57">
        <w:rPr>
          <w:rFonts w:ascii="Times New Roman" w:hAnsi="Times New Roman" w:cs="Times New Roman"/>
          <w:sz w:val="24"/>
          <w:szCs w:val="24"/>
        </w:rPr>
        <w:t>)</w:t>
      </w:r>
      <w:r w:rsidR="00034C57" w:rsidRPr="00954E8C">
        <w:rPr>
          <w:rFonts w:ascii="Times New Roman" w:hAnsi="Times New Roman" w:cs="Times New Roman"/>
          <w:sz w:val="24"/>
          <w:szCs w:val="24"/>
        </w:rPr>
        <w:t xml:space="preserve"> etd’esters de cholestérol (EC), entouré d’une monocouche de phospholipides, de cholestérol libre et de protéines amphiphiles, les apolipoprotéines qui assurent la liaison entre le cœur hydrophobe et le milieu sanguin hydrophile </w:t>
      </w:r>
      <w:r w:rsidR="00034C57" w:rsidRPr="00954E8C">
        <w:rPr>
          <w:rFonts w:ascii="Times New Roman" w:hAnsi="Times New Roman" w:cs="Times New Roman"/>
          <w:b/>
          <w:bCs/>
          <w:sz w:val="24"/>
          <w:szCs w:val="24"/>
        </w:rPr>
        <w:t>(Depla, 2011).</w:t>
      </w:r>
    </w:p>
    <w:p w:rsidR="00034C57" w:rsidRDefault="00034C57" w:rsidP="00034C57">
      <w:pPr>
        <w:autoSpaceDE w:val="0"/>
        <w:autoSpaceDN w:val="0"/>
        <w:adjustRightInd w:val="0"/>
        <w:spacing w:after="0" w:line="360" w:lineRule="auto"/>
        <w:jc w:val="both"/>
        <w:rPr>
          <w:rFonts w:ascii="Times New Roman" w:hAnsi="Times New Roman" w:cs="Times New Roman"/>
          <w:b/>
          <w:bCs/>
          <w:sz w:val="24"/>
          <w:szCs w:val="24"/>
        </w:rPr>
      </w:pPr>
    </w:p>
    <w:p w:rsidR="00034C57" w:rsidRDefault="00034C57" w:rsidP="00034C5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429250" cy="2657475"/>
            <wp:effectExtent l="19050" t="19050" r="0" b="9525"/>
            <wp:docPr id="10" name="Image 4" descr="Description : Description : Description : 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Description : Description : slide_6.jpg"/>
                    <pic:cNvPicPr>
                      <a:picLocks noChangeAspect="1" noChangeArrowheads="1"/>
                    </pic:cNvPicPr>
                  </pic:nvPicPr>
                  <pic:blipFill>
                    <a:blip r:embed="rId29">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244"/>
                    <a:stretch>
                      <a:fillRect/>
                    </a:stretch>
                  </pic:blipFill>
                  <pic:spPr bwMode="auto">
                    <a:xfrm>
                      <a:off x="0" y="0"/>
                      <a:ext cx="5429250" cy="2657475"/>
                    </a:xfrm>
                    <a:prstGeom prst="rect">
                      <a:avLst/>
                    </a:prstGeom>
                    <a:noFill/>
                    <a:ln w="9525" cmpd="sng">
                      <a:solidFill>
                        <a:srgbClr val="000000"/>
                      </a:solidFill>
                      <a:miter lim="800000"/>
                      <a:headEnd/>
                      <a:tailEnd/>
                    </a:ln>
                    <a:effectLst/>
                  </pic:spPr>
                </pic:pic>
              </a:graphicData>
            </a:graphic>
          </wp:inline>
        </w:drawing>
      </w:r>
    </w:p>
    <w:p w:rsidR="00034C57" w:rsidRDefault="00034C57" w:rsidP="00034C57">
      <w:pPr>
        <w:autoSpaceDE w:val="0"/>
        <w:autoSpaceDN w:val="0"/>
        <w:adjustRightInd w:val="0"/>
        <w:spacing w:after="0" w:line="360" w:lineRule="auto"/>
        <w:jc w:val="center"/>
        <w:rPr>
          <w:rFonts w:ascii="Times New Roman" w:hAnsi="Times New Roman" w:cs="Times New Roman"/>
          <w:sz w:val="24"/>
          <w:szCs w:val="24"/>
        </w:rPr>
      </w:pPr>
      <w:r w:rsidRPr="00737CFF">
        <w:rPr>
          <w:rFonts w:ascii="Times New Roman" w:hAnsi="Times New Roman" w:cs="Times New Roman"/>
          <w:b/>
          <w:bCs/>
          <w:sz w:val="24"/>
          <w:szCs w:val="24"/>
        </w:rPr>
        <w:t>Fig</w:t>
      </w:r>
      <w:r>
        <w:rPr>
          <w:rFonts w:ascii="Times New Roman" w:hAnsi="Times New Roman" w:cs="Times New Roman"/>
          <w:b/>
          <w:bCs/>
          <w:sz w:val="24"/>
          <w:szCs w:val="24"/>
        </w:rPr>
        <w:t>ure I.9.</w:t>
      </w:r>
      <w:r>
        <w:rPr>
          <w:rFonts w:ascii="Times New Roman" w:hAnsi="Times New Roman" w:cs="Times New Roman"/>
          <w:sz w:val="24"/>
          <w:szCs w:val="24"/>
        </w:rPr>
        <w:t xml:space="preserve"> Structure d’une lipoprotéine</w:t>
      </w:r>
    </w:p>
    <w:p w:rsidR="00034C57" w:rsidRPr="00F3419C" w:rsidRDefault="00034C57" w:rsidP="00034C57">
      <w:pPr>
        <w:autoSpaceDE w:val="0"/>
        <w:autoSpaceDN w:val="0"/>
        <w:adjustRightInd w:val="0"/>
        <w:spacing w:after="0" w:line="360" w:lineRule="auto"/>
        <w:jc w:val="center"/>
        <w:rPr>
          <w:rFonts w:ascii="Times New Roman" w:hAnsi="Times New Roman" w:cs="Times New Roman"/>
          <w:sz w:val="24"/>
          <w:szCs w:val="24"/>
        </w:rPr>
      </w:pPr>
      <w:r w:rsidRPr="00F3419C">
        <w:rPr>
          <w:rFonts w:ascii="Times New Roman" w:hAnsi="Times New Roman" w:cs="Times New Roman"/>
          <w:sz w:val="24"/>
          <w:szCs w:val="24"/>
        </w:rPr>
        <w:t>(http://slideplayer.fr/slide/5466597/)</w:t>
      </w:r>
    </w:p>
    <w:p w:rsidR="00034C57" w:rsidRDefault="00034C57" w:rsidP="00034C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 techniques d’ultracentrifugation ont permis de distinguer les lipoprotéines selon leur densité </w:t>
      </w:r>
      <w:r w:rsidRPr="00381326">
        <w:rPr>
          <w:rFonts w:ascii="Times New Roman" w:hAnsi="Times New Roman" w:cs="Times New Roman"/>
          <w:sz w:val="24"/>
          <w:szCs w:val="24"/>
        </w:rPr>
        <w:t>en cinq classes</w:t>
      </w:r>
      <w:r>
        <w:rPr>
          <w:rFonts w:ascii="Times New Roman" w:hAnsi="Times New Roman" w:cs="Times New Roman"/>
          <w:sz w:val="24"/>
          <w:szCs w:val="24"/>
        </w:rPr>
        <w:t xml:space="preserve"> principales:</w:t>
      </w:r>
    </w:p>
    <w:p w:rsidR="00034C57" w:rsidRDefault="00034C57" w:rsidP="00034C57">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chylomicrons, particules composées de 90% de TG, qui ont la densité la plus faible</w:t>
      </w:r>
    </w:p>
    <w:p w:rsidR="00034C57" w:rsidRDefault="00034C57" w:rsidP="00034C57">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lipoprotéines de très faible densité (VLDL)</w:t>
      </w:r>
    </w:p>
    <w:p w:rsidR="00034C57" w:rsidRDefault="00034C57" w:rsidP="00034C57">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Les lipoprotéines de densité intermédiaire (IDL)</w:t>
      </w:r>
    </w:p>
    <w:p w:rsidR="00034C57" w:rsidRDefault="00034C57" w:rsidP="00034C57">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lipoprotéines de faible densité (LDL)</w:t>
      </w:r>
    </w:p>
    <w:p w:rsidR="00034C57" w:rsidRDefault="00034C57" w:rsidP="00034C57">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lipoprotéines de haute densité (HDL) </w:t>
      </w:r>
    </w:p>
    <w:p w:rsidR="00034C57" w:rsidRDefault="00034C57" w:rsidP="00034C57">
      <w:pPr>
        <w:autoSpaceDE w:val="0"/>
        <w:autoSpaceDN w:val="0"/>
        <w:adjustRightInd w:val="0"/>
        <w:spacing w:after="0" w:line="240" w:lineRule="auto"/>
        <w:jc w:val="center"/>
        <w:rPr>
          <w:rFonts w:ascii="Times New Roman" w:hAnsi="Times New Roman" w:cs="Times New Roman"/>
          <w:b/>
          <w:bCs/>
          <w:sz w:val="24"/>
          <w:szCs w:val="24"/>
        </w:rPr>
      </w:pPr>
    </w:p>
    <w:p w:rsidR="00034C57" w:rsidRDefault="00034C57" w:rsidP="0057792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Il existe diverses classes d’apolipoprotéines qui diffèrent par leur structure et leurs propriétés. Les apolipoprotéines A, C et E sont échangeables, on outre les apoB48 et apoB100 qui constitue l’armature fixe des lipoprotéines de grande taille, ne le sont pas. </w:t>
      </w:r>
      <w:r>
        <w:rPr>
          <w:rFonts w:asciiTheme="majorBidi" w:hAnsiTheme="majorBidi" w:cs="Times New Roman"/>
          <w:color w:val="000000"/>
          <w:sz w:val="24"/>
          <w:szCs w:val="24"/>
        </w:rPr>
        <w:t>Leur interaction avec les récepteurs cellulaires spécifiques, ou encore l’activation ou l’inhibition d’enzymes impliquées dans leur métabolisme intravasculaire</w:t>
      </w:r>
      <w:r w:rsidR="009B673C">
        <w:rPr>
          <w:rFonts w:asciiTheme="majorBidi" w:hAnsiTheme="majorBidi" w:cs="Times New Roman"/>
          <w:color w:val="000000"/>
          <w:sz w:val="24"/>
          <w:szCs w:val="24"/>
        </w:rPr>
        <w:t xml:space="preserve"> </w:t>
      </w:r>
      <w:r w:rsidRPr="00DD0A92">
        <w:rPr>
          <w:rFonts w:asciiTheme="majorBidi" w:hAnsiTheme="majorBidi" w:cs="Times New Roman"/>
          <w:b/>
          <w:bCs/>
          <w:color w:val="000000"/>
          <w:sz w:val="24"/>
          <w:szCs w:val="24"/>
        </w:rPr>
        <w:t>(Lagrost</w:t>
      </w:r>
      <w:r w:rsidR="002F4B74">
        <w:rPr>
          <w:rFonts w:asciiTheme="majorBidi" w:hAnsiTheme="majorBidi" w:cs="Times New Roman"/>
          <w:b/>
          <w:bCs/>
          <w:color w:val="000000"/>
          <w:sz w:val="24"/>
          <w:szCs w:val="24"/>
        </w:rPr>
        <w:t xml:space="preserve"> </w:t>
      </w:r>
      <w:r w:rsidRPr="00DD0A92">
        <w:rPr>
          <w:rFonts w:asciiTheme="majorBidi" w:hAnsiTheme="majorBidi" w:cs="Times New Roman"/>
          <w:b/>
          <w:bCs/>
          <w:i/>
          <w:iCs/>
          <w:color w:val="000000"/>
          <w:sz w:val="24"/>
          <w:szCs w:val="24"/>
        </w:rPr>
        <w:t>et al</w:t>
      </w:r>
      <w:r w:rsidRPr="00DD0A92">
        <w:rPr>
          <w:rFonts w:asciiTheme="majorBidi" w:hAnsiTheme="majorBidi" w:cs="Times New Roman"/>
          <w:b/>
          <w:bCs/>
          <w:color w:val="000000"/>
          <w:sz w:val="24"/>
          <w:szCs w:val="24"/>
        </w:rPr>
        <w:t>., 2005).</w:t>
      </w:r>
      <w:r>
        <w:rPr>
          <w:rFonts w:ascii="Times New Roman" w:hAnsi="Times New Roman" w:cs="Times New Roman"/>
          <w:sz w:val="24"/>
          <w:szCs w:val="24"/>
        </w:rPr>
        <w:t xml:space="preserve"> La localisation tissulaire, la  distribution à la surface des principales lipoprotéines et les  principaux rôles connus sont résumés dans le (</w:t>
      </w:r>
      <w:r w:rsidR="0057792C">
        <w:rPr>
          <w:rFonts w:ascii="Times New Roman" w:hAnsi="Times New Roman" w:cs="Times New Roman"/>
          <w:b/>
          <w:bCs/>
          <w:sz w:val="24"/>
          <w:szCs w:val="24"/>
        </w:rPr>
        <w:t>tableau I.1).</w:t>
      </w:r>
    </w:p>
    <w:p w:rsidR="0057792C" w:rsidRDefault="0057792C" w:rsidP="00034C57">
      <w:pPr>
        <w:autoSpaceDE w:val="0"/>
        <w:autoSpaceDN w:val="0"/>
        <w:adjustRightInd w:val="0"/>
        <w:spacing w:after="0" w:line="240" w:lineRule="auto"/>
        <w:jc w:val="center"/>
        <w:rPr>
          <w:rFonts w:ascii="Times New Roman" w:hAnsi="Times New Roman" w:cs="Times New Roman"/>
          <w:b/>
          <w:bCs/>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Tableau I.1. </w:t>
      </w:r>
      <w:r>
        <w:rPr>
          <w:rFonts w:ascii="Times New Roman" w:hAnsi="Times New Roman" w:cs="Times New Roman"/>
          <w:sz w:val="24"/>
          <w:szCs w:val="24"/>
        </w:rPr>
        <w:t xml:space="preserve">Les principales apolipoprotéines. Identité, expression tissulaire, distribution       plasmatique et fonction connues des principales lipoprotéines humaines </w:t>
      </w:r>
      <w:r>
        <w:rPr>
          <w:rFonts w:asciiTheme="majorBidi" w:hAnsiTheme="majorBidi" w:cs="Times New Roman"/>
          <w:b/>
          <w:bCs/>
          <w:sz w:val="24"/>
          <w:szCs w:val="24"/>
        </w:rPr>
        <w:t>(Piodi, 2010).</w:t>
      </w:r>
    </w:p>
    <w:p w:rsidR="00034C57" w:rsidRDefault="00034C57" w:rsidP="00034C57">
      <w:pPr>
        <w:autoSpaceDE w:val="0"/>
        <w:autoSpaceDN w:val="0"/>
        <w:adjustRightInd w:val="0"/>
        <w:spacing w:after="0" w:line="240" w:lineRule="auto"/>
        <w:rPr>
          <w:rFonts w:ascii="Times New Roman" w:hAnsi="Times New Roman" w:cs="Times New Roman"/>
          <w:sz w:val="24"/>
          <w:szCs w:val="24"/>
        </w:rPr>
      </w:pPr>
    </w:p>
    <w:tbl>
      <w:tblPr>
        <w:tblStyle w:val="Tramemoyenne1-Accent41"/>
        <w:tblW w:w="9236" w:type="dxa"/>
        <w:jc w:val="center"/>
        <w:tblLook w:val="04A0"/>
      </w:tblPr>
      <w:tblGrid>
        <w:gridCol w:w="1970"/>
        <w:gridCol w:w="1696"/>
        <w:gridCol w:w="2202"/>
        <w:gridCol w:w="3368"/>
      </w:tblGrid>
      <w:tr w:rsidR="0057792C" w:rsidRPr="0057792C" w:rsidTr="000A7E50">
        <w:trPr>
          <w:cnfStyle w:val="100000000000"/>
          <w:trHeight w:val="255"/>
          <w:jc w:val="center"/>
        </w:trPr>
        <w:tc>
          <w:tcPr>
            <w:cnfStyle w:val="001000000000"/>
            <w:tcW w:w="1970" w:type="dxa"/>
            <w:hideMark/>
          </w:tcPr>
          <w:p w:rsidR="0057792C" w:rsidRPr="0057792C" w:rsidRDefault="0057792C" w:rsidP="0057792C">
            <w:pPr>
              <w:autoSpaceDE w:val="0"/>
              <w:autoSpaceDN w:val="0"/>
              <w:adjustRightInd w:val="0"/>
              <w:spacing w:after="0" w:line="240" w:lineRule="auto"/>
              <w:jc w:val="center"/>
              <w:rPr>
                <w:rFonts w:asciiTheme="majorBidi" w:hAnsiTheme="majorBidi" w:cs="Times New Roman"/>
                <w:sz w:val="24"/>
                <w:szCs w:val="24"/>
              </w:rPr>
            </w:pPr>
            <w:r w:rsidRPr="0057792C">
              <w:rPr>
                <w:rFonts w:asciiTheme="majorBidi" w:hAnsiTheme="majorBidi" w:cs="Times New Roman"/>
                <w:sz w:val="24"/>
                <w:szCs w:val="24"/>
              </w:rPr>
              <w:t>Apolipoprotéine</w:t>
            </w:r>
          </w:p>
        </w:tc>
        <w:tc>
          <w:tcPr>
            <w:tcW w:w="1696" w:type="dxa"/>
            <w:hideMark/>
          </w:tcPr>
          <w:p w:rsidR="0057792C" w:rsidRPr="0057792C" w:rsidRDefault="0057792C" w:rsidP="0057792C">
            <w:pPr>
              <w:autoSpaceDE w:val="0"/>
              <w:autoSpaceDN w:val="0"/>
              <w:adjustRightInd w:val="0"/>
              <w:spacing w:after="0" w:line="240" w:lineRule="auto"/>
              <w:jc w:val="center"/>
              <w:cnfStyle w:val="100000000000"/>
              <w:rPr>
                <w:rFonts w:asciiTheme="majorBidi" w:hAnsiTheme="majorBidi" w:cs="Times New Roman"/>
                <w:sz w:val="24"/>
                <w:szCs w:val="24"/>
              </w:rPr>
            </w:pPr>
            <w:r w:rsidRPr="0057792C">
              <w:rPr>
                <w:rFonts w:asciiTheme="majorBidi" w:hAnsiTheme="majorBidi" w:cs="Times New Roman"/>
                <w:sz w:val="24"/>
                <w:szCs w:val="24"/>
              </w:rPr>
              <w:t xml:space="preserve">Tissu </w:t>
            </w:r>
          </w:p>
        </w:tc>
        <w:tc>
          <w:tcPr>
            <w:tcW w:w="2202" w:type="dxa"/>
            <w:hideMark/>
          </w:tcPr>
          <w:p w:rsidR="0057792C" w:rsidRPr="0057792C" w:rsidRDefault="0057792C" w:rsidP="0057792C">
            <w:pPr>
              <w:autoSpaceDE w:val="0"/>
              <w:autoSpaceDN w:val="0"/>
              <w:adjustRightInd w:val="0"/>
              <w:spacing w:after="0" w:line="240" w:lineRule="auto"/>
              <w:jc w:val="center"/>
              <w:cnfStyle w:val="100000000000"/>
              <w:rPr>
                <w:rFonts w:asciiTheme="majorBidi" w:hAnsiTheme="majorBidi" w:cs="Times New Roman"/>
                <w:sz w:val="24"/>
                <w:szCs w:val="24"/>
              </w:rPr>
            </w:pPr>
            <w:r w:rsidRPr="0057792C">
              <w:rPr>
                <w:rFonts w:asciiTheme="majorBidi" w:hAnsiTheme="majorBidi" w:cs="Times New Roman"/>
                <w:sz w:val="24"/>
                <w:szCs w:val="24"/>
              </w:rPr>
              <w:t>Distribution</w:t>
            </w:r>
          </w:p>
        </w:tc>
        <w:tc>
          <w:tcPr>
            <w:tcW w:w="3368" w:type="dxa"/>
            <w:hideMark/>
          </w:tcPr>
          <w:p w:rsidR="0057792C" w:rsidRPr="0057792C" w:rsidRDefault="0057792C" w:rsidP="0057792C">
            <w:pPr>
              <w:autoSpaceDE w:val="0"/>
              <w:autoSpaceDN w:val="0"/>
              <w:adjustRightInd w:val="0"/>
              <w:spacing w:after="0" w:line="240" w:lineRule="auto"/>
              <w:jc w:val="center"/>
              <w:cnfStyle w:val="100000000000"/>
              <w:rPr>
                <w:rFonts w:asciiTheme="majorBidi" w:hAnsiTheme="majorBidi" w:cs="Times New Roman"/>
                <w:sz w:val="24"/>
                <w:szCs w:val="24"/>
              </w:rPr>
            </w:pPr>
            <w:r w:rsidRPr="0057792C">
              <w:rPr>
                <w:rFonts w:asciiTheme="majorBidi" w:hAnsiTheme="majorBidi" w:cs="Times New Roman"/>
                <w:sz w:val="24"/>
                <w:szCs w:val="24"/>
              </w:rPr>
              <w:t>Principaux rôle connu</w:t>
            </w:r>
          </w:p>
        </w:tc>
      </w:tr>
      <w:tr w:rsidR="0057792C" w:rsidRPr="0057792C" w:rsidTr="000A7E50">
        <w:trPr>
          <w:cnfStyle w:val="000000100000"/>
          <w:trHeight w:val="793"/>
          <w:jc w:val="center"/>
        </w:trPr>
        <w:tc>
          <w:tcPr>
            <w:cnfStyle w:val="001000000000"/>
            <w:tcW w:w="1970" w:type="dxa"/>
            <w:hideMark/>
          </w:tcPr>
          <w:p w:rsidR="0057792C" w:rsidRPr="0057792C" w:rsidRDefault="0057792C" w:rsidP="0057792C">
            <w:pPr>
              <w:autoSpaceDE w:val="0"/>
              <w:autoSpaceDN w:val="0"/>
              <w:adjustRightInd w:val="0"/>
              <w:spacing w:after="0" w:line="240" w:lineRule="auto"/>
              <w:rPr>
                <w:rFonts w:asciiTheme="majorBidi" w:hAnsiTheme="majorBidi" w:cs="Times New Roman"/>
                <w:sz w:val="24"/>
                <w:szCs w:val="24"/>
              </w:rPr>
            </w:pPr>
            <w:r w:rsidRPr="0057792C">
              <w:rPr>
                <w:rFonts w:asciiTheme="majorBidi" w:hAnsiTheme="majorBidi" w:cs="Times New Roman"/>
                <w:sz w:val="24"/>
                <w:szCs w:val="24"/>
              </w:rPr>
              <w:t>Apo AI</w:t>
            </w:r>
          </w:p>
        </w:tc>
        <w:tc>
          <w:tcPr>
            <w:tcW w:w="1696" w:type="dxa"/>
            <w:hideMark/>
          </w:tcPr>
          <w:p w:rsidR="0057792C" w:rsidRPr="0057792C" w:rsidRDefault="0057792C" w:rsidP="0057792C">
            <w:pPr>
              <w:tabs>
                <w:tab w:val="left" w:pos="390"/>
              </w:tabs>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foie, intestin</w:t>
            </w:r>
          </w:p>
        </w:tc>
        <w:tc>
          <w:tcPr>
            <w:tcW w:w="2202" w:type="dxa"/>
            <w:hideMark/>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Chylomicrons, HDL</w:t>
            </w:r>
          </w:p>
        </w:tc>
        <w:tc>
          <w:tcPr>
            <w:tcW w:w="3368" w:type="dxa"/>
            <w:hideMark/>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Structurel, activateur de la LCAT, efflux de cholestérol</w:t>
            </w:r>
          </w:p>
        </w:tc>
      </w:tr>
      <w:tr w:rsidR="0057792C" w:rsidRPr="0057792C" w:rsidTr="000A7E50">
        <w:trPr>
          <w:cnfStyle w:val="000000010000"/>
          <w:trHeight w:val="662"/>
          <w:jc w:val="center"/>
        </w:trPr>
        <w:tc>
          <w:tcPr>
            <w:cnfStyle w:val="001000000000"/>
            <w:tcW w:w="1970" w:type="dxa"/>
            <w:hideMark/>
          </w:tcPr>
          <w:p w:rsidR="0057792C" w:rsidRPr="0057792C" w:rsidRDefault="0057792C" w:rsidP="0057792C">
            <w:pPr>
              <w:autoSpaceDE w:val="0"/>
              <w:autoSpaceDN w:val="0"/>
              <w:adjustRightInd w:val="0"/>
              <w:spacing w:after="0" w:line="240" w:lineRule="auto"/>
              <w:rPr>
                <w:rFonts w:asciiTheme="majorBidi" w:hAnsiTheme="majorBidi" w:cs="Times New Roman"/>
                <w:sz w:val="24"/>
                <w:szCs w:val="24"/>
              </w:rPr>
            </w:pPr>
            <w:r w:rsidRPr="0057792C">
              <w:rPr>
                <w:rFonts w:asciiTheme="majorBidi" w:hAnsiTheme="majorBidi" w:cs="Times New Roman"/>
                <w:sz w:val="24"/>
                <w:szCs w:val="24"/>
              </w:rPr>
              <w:t>Apo AII</w:t>
            </w:r>
          </w:p>
        </w:tc>
        <w:tc>
          <w:tcPr>
            <w:tcW w:w="1696" w:type="dxa"/>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foie, (intestin)</w:t>
            </w:r>
          </w:p>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p>
        </w:tc>
        <w:tc>
          <w:tcPr>
            <w:tcW w:w="2202" w:type="dxa"/>
            <w:hideMark/>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HDL</w:t>
            </w:r>
          </w:p>
        </w:tc>
        <w:tc>
          <w:tcPr>
            <w:tcW w:w="3368" w:type="dxa"/>
            <w:hideMark/>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Structurel, activateur/inhibiteur de la LH, efflux de cholestérol</w:t>
            </w:r>
          </w:p>
        </w:tc>
      </w:tr>
      <w:tr w:rsidR="0057792C" w:rsidRPr="0057792C" w:rsidTr="000A7E50">
        <w:trPr>
          <w:cnfStyle w:val="000000100000"/>
          <w:trHeight w:val="285"/>
          <w:jc w:val="center"/>
        </w:trPr>
        <w:tc>
          <w:tcPr>
            <w:cnfStyle w:val="001000000000"/>
            <w:tcW w:w="1970" w:type="dxa"/>
            <w:hideMark/>
          </w:tcPr>
          <w:p w:rsidR="0057792C" w:rsidRPr="0057792C" w:rsidRDefault="0057792C" w:rsidP="0057792C">
            <w:pPr>
              <w:autoSpaceDE w:val="0"/>
              <w:autoSpaceDN w:val="0"/>
              <w:adjustRightInd w:val="0"/>
              <w:spacing w:after="0" w:line="240" w:lineRule="auto"/>
              <w:rPr>
                <w:rFonts w:asciiTheme="majorBidi" w:hAnsiTheme="majorBidi" w:cs="Times New Roman"/>
                <w:sz w:val="24"/>
                <w:szCs w:val="24"/>
              </w:rPr>
            </w:pPr>
            <w:r w:rsidRPr="0057792C">
              <w:rPr>
                <w:rFonts w:asciiTheme="majorBidi" w:hAnsiTheme="majorBidi" w:cs="Times New Roman"/>
                <w:sz w:val="24"/>
                <w:szCs w:val="24"/>
              </w:rPr>
              <w:t>Apo B48</w:t>
            </w:r>
          </w:p>
        </w:tc>
        <w:tc>
          <w:tcPr>
            <w:tcW w:w="1696" w:type="dxa"/>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intestin</w:t>
            </w:r>
          </w:p>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p>
        </w:tc>
        <w:tc>
          <w:tcPr>
            <w:tcW w:w="2202" w:type="dxa"/>
            <w:hideMark/>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Chylomicrons</w:t>
            </w:r>
          </w:p>
        </w:tc>
        <w:tc>
          <w:tcPr>
            <w:tcW w:w="3368" w:type="dxa"/>
            <w:hideMark/>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Structurel, synthèse et sécrétion des chylomicrons, ligand du récepteur B48R</w:t>
            </w:r>
          </w:p>
        </w:tc>
      </w:tr>
      <w:tr w:rsidR="0057792C" w:rsidRPr="0057792C" w:rsidTr="000A7E50">
        <w:trPr>
          <w:cnfStyle w:val="000000010000"/>
          <w:trHeight w:val="285"/>
          <w:jc w:val="center"/>
        </w:trPr>
        <w:tc>
          <w:tcPr>
            <w:cnfStyle w:val="001000000000"/>
            <w:tcW w:w="1970" w:type="dxa"/>
            <w:hideMark/>
          </w:tcPr>
          <w:p w:rsidR="0057792C" w:rsidRPr="0057792C" w:rsidRDefault="0057792C" w:rsidP="0057792C">
            <w:pPr>
              <w:autoSpaceDE w:val="0"/>
              <w:autoSpaceDN w:val="0"/>
              <w:adjustRightInd w:val="0"/>
              <w:spacing w:after="0" w:line="240" w:lineRule="auto"/>
              <w:rPr>
                <w:rFonts w:asciiTheme="majorBidi" w:hAnsiTheme="majorBidi" w:cs="Times New Roman"/>
                <w:sz w:val="24"/>
                <w:szCs w:val="24"/>
              </w:rPr>
            </w:pPr>
            <w:r w:rsidRPr="0057792C">
              <w:rPr>
                <w:rFonts w:asciiTheme="majorBidi" w:hAnsiTheme="majorBidi" w:cs="Times New Roman"/>
                <w:sz w:val="24"/>
                <w:szCs w:val="24"/>
              </w:rPr>
              <w:t>Apo B100</w:t>
            </w:r>
          </w:p>
        </w:tc>
        <w:tc>
          <w:tcPr>
            <w:tcW w:w="1696" w:type="dxa"/>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foie</w:t>
            </w:r>
          </w:p>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p>
        </w:tc>
        <w:tc>
          <w:tcPr>
            <w:tcW w:w="2202" w:type="dxa"/>
            <w:hideMark/>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VLDL, IDL, LDL</w:t>
            </w:r>
          </w:p>
        </w:tc>
        <w:tc>
          <w:tcPr>
            <w:tcW w:w="3368" w:type="dxa"/>
            <w:hideMark/>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Structurel, synthèse et sécrétion des VLDL, ligand du récepteur LDLR</w:t>
            </w:r>
          </w:p>
        </w:tc>
      </w:tr>
      <w:tr w:rsidR="0057792C" w:rsidRPr="0057792C" w:rsidTr="000A7E50">
        <w:trPr>
          <w:cnfStyle w:val="000000100000"/>
          <w:trHeight w:val="285"/>
          <w:jc w:val="center"/>
        </w:trPr>
        <w:tc>
          <w:tcPr>
            <w:cnfStyle w:val="001000000000"/>
            <w:tcW w:w="1970" w:type="dxa"/>
            <w:hideMark/>
          </w:tcPr>
          <w:p w:rsidR="0057792C" w:rsidRPr="0057792C" w:rsidRDefault="0057792C" w:rsidP="0057792C">
            <w:pPr>
              <w:autoSpaceDE w:val="0"/>
              <w:autoSpaceDN w:val="0"/>
              <w:adjustRightInd w:val="0"/>
              <w:spacing w:after="0" w:line="240" w:lineRule="auto"/>
              <w:rPr>
                <w:rFonts w:asciiTheme="majorBidi" w:hAnsiTheme="majorBidi" w:cs="Times New Roman"/>
                <w:sz w:val="24"/>
                <w:szCs w:val="24"/>
              </w:rPr>
            </w:pPr>
            <w:r w:rsidRPr="0057792C">
              <w:rPr>
                <w:rFonts w:asciiTheme="majorBidi" w:hAnsiTheme="majorBidi" w:cs="Times New Roman"/>
                <w:sz w:val="24"/>
                <w:szCs w:val="24"/>
              </w:rPr>
              <w:t>Apo CI</w:t>
            </w:r>
          </w:p>
        </w:tc>
        <w:tc>
          <w:tcPr>
            <w:tcW w:w="1696" w:type="dxa"/>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foie, (intestin)</w:t>
            </w:r>
          </w:p>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p>
        </w:tc>
        <w:tc>
          <w:tcPr>
            <w:tcW w:w="2202" w:type="dxa"/>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Chylomicrons, VLDL, HDL</w:t>
            </w:r>
          </w:p>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p>
        </w:tc>
        <w:tc>
          <w:tcPr>
            <w:tcW w:w="3368" w:type="dxa"/>
            <w:hideMark/>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Inhibiteur de la CETP, activateur de la LCAT, inhibiteur de la liaison aux LDLR, LRP et VLDLR</w:t>
            </w:r>
          </w:p>
        </w:tc>
      </w:tr>
      <w:tr w:rsidR="0057792C" w:rsidRPr="0057792C" w:rsidTr="000A7E50">
        <w:trPr>
          <w:cnfStyle w:val="000000010000"/>
          <w:trHeight w:val="623"/>
          <w:jc w:val="center"/>
        </w:trPr>
        <w:tc>
          <w:tcPr>
            <w:cnfStyle w:val="001000000000"/>
            <w:tcW w:w="1970" w:type="dxa"/>
            <w:hideMark/>
          </w:tcPr>
          <w:p w:rsidR="0057792C" w:rsidRPr="0057792C" w:rsidRDefault="0057792C" w:rsidP="0057792C">
            <w:pPr>
              <w:autoSpaceDE w:val="0"/>
              <w:autoSpaceDN w:val="0"/>
              <w:adjustRightInd w:val="0"/>
              <w:spacing w:after="0" w:line="240" w:lineRule="auto"/>
              <w:rPr>
                <w:rFonts w:asciiTheme="majorBidi" w:hAnsiTheme="majorBidi" w:cs="Times New Roman"/>
                <w:sz w:val="24"/>
                <w:szCs w:val="24"/>
              </w:rPr>
            </w:pPr>
            <w:r w:rsidRPr="0057792C">
              <w:rPr>
                <w:rFonts w:asciiTheme="majorBidi" w:hAnsiTheme="majorBidi" w:cs="Times New Roman"/>
                <w:sz w:val="24"/>
                <w:szCs w:val="24"/>
              </w:rPr>
              <w:t>Apo CII</w:t>
            </w:r>
          </w:p>
        </w:tc>
        <w:tc>
          <w:tcPr>
            <w:tcW w:w="1696" w:type="dxa"/>
            <w:hideMark/>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foie, (intestin)</w:t>
            </w:r>
          </w:p>
        </w:tc>
        <w:tc>
          <w:tcPr>
            <w:tcW w:w="2202" w:type="dxa"/>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Chylomicrons, VLDL, HDL</w:t>
            </w:r>
          </w:p>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p>
        </w:tc>
        <w:tc>
          <w:tcPr>
            <w:tcW w:w="3368" w:type="dxa"/>
            <w:hideMark/>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Activateur de la LPL</w:t>
            </w:r>
          </w:p>
        </w:tc>
      </w:tr>
      <w:tr w:rsidR="0057792C" w:rsidRPr="0057792C" w:rsidTr="000A7E50">
        <w:trPr>
          <w:cnfStyle w:val="000000100000"/>
          <w:trHeight w:val="285"/>
          <w:jc w:val="center"/>
        </w:trPr>
        <w:tc>
          <w:tcPr>
            <w:cnfStyle w:val="001000000000"/>
            <w:tcW w:w="1970" w:type="dxa"/>
            <w:hideMark/>
          </w:tcPr>
          <w:p w:rsidR="0057792C" w:rsidRPr="0057792C" w:rsidRDefault="0057792C" w:rsidP="0057792C">
            <w:pPr>
              <w:autoSpaceDE w:val="0"/>
              <w:autoSpaceDN w:val="0"/>
              <w:adjustRightInd w:val="0"/>
              <w:spacing w:after="0" w:line="240" w:lineRule="auto"/>
              <w:rPr>
                <w:rFonts w:asciiTheme="majorBidi" w:hAnsiTheme="majorBidi" w:cs="Times New Roman"/>
                <w:sz w:val="24"/>
                <w:szCs w:val="24"/>
              </w:rPr>
            </w:pPr>
            <w:r w:rsidRPr="0057792C">
              <w:rPr>
                <w:rFonts w:asciiTheme="majorBidi" w:hAnsiTheme="majorBidi" w:cs="Times New Roman"/>
                <w:sz w:val="24"/>
                <w:szCs w:val="24"/>
              </w:rPr>
              <w:t>Apo CII</w:t>
            </w:r>
          </w:p>
        </w:tc>
        <w:tc>
          <w:tcPr>
            <w:tcW w:w="1696" w:type="dxa"/>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foie, (intestin)</w:t>
            </w:r>
          </w:p>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p>
        </w:tc>
        <w:tc>
          <w:tcPr>
            <w:tcW w:w="2202" w:type="dxa"/>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Chylomicrons, VLDL, HDL</w:t>
            </w:r>
          </w:p>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p>
        </w:tc>
        <w:tc>
          <w:tcPr>
            <w:tcW w:w="3368" w:type="dxa"/>
            <w:hideMark/>
          </w:tcPr>
          <w:p w:rsidR="0057792C" w:rsidRPr="0057792C" w:rsidRDefault="0057792C" w:rsidP="0057792C">
            <w:pPr>
              <w:autoSpaceDE w:val="0"/>
              <w:autoSpaceDN w:val="0"/>
              <w:adjustRightInd w:val="0"/>
              <w:spacing w:after="0" w:line="240" w:lineRule="auto"/>
              <w:cnfStyle w:val="000000100000"/>
              <w:rPr>
                <w:rFonts w:asciiTheme="majorBidi" w:hAnsiTheme="majorBidi" w:cs="Times New Roman"/>
                <w:sz w:val="24"/>
                <w:szCs w:val="24"/>
              </w:rPr>
            </w:pPr>
            <w:r w:rsidRPr="0057792C">
              <w:rPr>
                <w:rFonts w:asciiTheme="majorBidi" w:hAnsiTheme="majorBidi" w:cs="Times New Roman"/>
                <w:sz w:val="24"/>
                <w:szCs w:val="24"/>
              </w:rPr>
              <w:t>Inhibiteur de la LPL, inhibiteur de la captation hépatique des lipoprotéines riches en TG</w:t>
            </w:r>
          </w:p>
        </w:tc>
      </w:tr>
      <w:tr w:rsidR="0057792C" w:rsidRPr="0057792C" w:rsidTr="000A7E50">
        <w:trPr>
          <w:cnfStyle w:val="000000010000"/>
          <w:trHeight w:val="662"/>
          <w:jc w:val="center"/>
        </w:trPr>
        <w:tc>
          <w:tcPr>
            <w:cnfStyle w:val="001000000000"/>
            <w:tcW w:w="1970" w:type="dxa"/>
            <w:hideMark/>
          </w:tcPr>
          <w:p w:rsidR="0057792C" w:rsidRPr="0057792C" w:rsidRDefault="0057792C" w:rsidP="0057792C">
            <w:pPr>
              <w:autoSpaceDE w:val="0"/>
              <w:autoSpaceDN w:val="0"/>
              <w:adjustRightInd w:val="0"/>
              <w:spacing w:after="0" w:line="240" w:lineRule="auto"/>
              <w:rPr>
                <w:rFonts w:asciiTheme="majorBidi" w:hAnsiTheme="majorBidi" w:cs="Times New Roman"/>
                <w:sz w:val="24"/>
                <w:szCs w:val="24"/>
              </w:rPr>
            </w:pPr>
            <w:r w:rsidRPr="0057792C">
              <w:rPr>
                <w:rFonts w:asciiTheme="majorBidi" w:hAnsiTheme="majorBidi" w:cs="Times New Roman"/>
                <w:sz w:val="24"/>
                <w:szCs w:val="24"/>
              </w:rPr>
              <w:t>Apo E</w:t>
            </w:r>
          </w:p>
        </w:tc>
        <w:tc>
          <w:tcPr>
            <w:tcW w:w="1696" w:type="dxa"/>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foie, macrophage,</w:t>
            </w:r>
          </w:p>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cerveau</w:t>
            </w:r>
          </w:p>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p>
        </w:tc>
        <w:tc>
          <w:tcPr>
            <w:tcW w:w="2202" w:type="dxa"/>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Chylomicrons, VLDL, IDL, HDL</w:t>
            </w:r>
          </w:p>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p>
        </w:tc>
        <w:tc>
          <w:tcPr>
            <w:tcW w:w="3368" w:type="dxa"/>
            <w:hideMark/>
          </w:tcPr>
          <w:p w:rsidR="0057792C" w:rsidRPr="0057792C" w:rsidRDefault="0057792C" w:rsidP="0057792C">
            <w:pPr>
              <w:autoSpaceDE w:val="0"/>
              <w:autoSpaceDN w:val="0"/>
              <w:adjustRightInd w:val="0"/>
              <w:spacing w:after="0" w:line="240" w:lineRule="auto"/>
              <w:cnfStyle w:val="000000010000"/>
              <w:rPr>
                <w:rFonts w:asciiTheme="majorBidi" w:hAnsiTheme="majorBidi" w:cs="Times New Roman"/>
                <w:sz w:val="24"/>
                <w:szCs w:val="24"/>
              </w:rPr>
            </w:pPr>
            <w:r w:rsidRPr="0057792C">
              <w:rPr>
                <w:rFonts w:asciiTheme="majorBidi" w:hAnsiTheme="majorBidi" w:cs="Times New Roman"/>
                <w:sz w:val="24"/>
                <w:szCs w:val="24"/>
              </w:rPr>
              <w:t>Ligand des récepteurs LDLR et LRP</w:t>
            </w:r>
          </w:p>
        </w:tc>
      </w:tr>
    </w:tbl>
    <w:p w:rsidR="00034C57" w:rsidRDefault="00034C57" w:rsidP="00034C57">
      <w:pPr>
        <w:autoSpaceDE w:val="0"/>
        <w:autoSpaceDN w:val="0"/>
        <w:adjustRightInd w:val="0"/>
        <w:spacing w:after="0" w:line="240" w:lineRule="auto"/>
        <w:rPr>
          <w:rFonts w:ascii="Times New Roman" w:hAnsi="Times New Roman" w:cs="Times New Roman"/>
          <w:b/>
          <w:bCs/>
          <w:sz w:val="24"/>
          <w:szCs w:val="24"/>
        </w:rPr>
      </w:pPr>
    </w:p>
    <w:p w:rsidR="0057792C" w:rsidRDefault="0057792C" w:rsidP="00034C57">
      <w:pPr>
        <w:autoSpaceDE w:val="0"/>
        <w:autoSpaceDN w:val="0"/>
        <w:adjustRightInd w:val="0"/>
        <w:spacing w:after="0" w:line="240" w:lineRule="auto"/>
        <w:rPr>
          <w:rFonts w:ascii="Times New Roman" w:hAnsi="Times New Roman" w:cs="Times New Roman"/>
          <w:b/>
          <w:bCs/>
          <w:sz w:val="24"/>
          <w:szCs w:val="24"/>
        </w:rPr>
      </w:pPr>
    </w:p>
    <w:p w:rsidR="0057792C" w:rsidRDefault="0057792C" w:rsidP="00034C57">
      <w:pPr>
        <w:autoSpaceDE w:val="0"/>
        <w:autoSpaceDN w:val="0"/>
        <w:adjustRightInd w:val="0"/>
        <w:spacing w:after="0" w:line="240" w:lineRule="auto"/>
        <w:rPr>
          <w:rFonts w:ascii="Times New Roman" w:hAnsi="Times New Roman" w:cs="Times New Roman"/>
          <w:b/>
          <w:bCs/>
          <w:sz w:val="24"/>
          <w:szCs w:val="24"/>
        </w:rPr>
      </w:pPr>
    </w:p>
    <w:p w:rsidR="0057792C" w:rsidRDefault="0057792C" w:rsidP="00034C57">
      <w:pPr>
        <w:autoSpaceDE w:val="0"/>
        <w:autoSpaceDN w:val="0"/>
        <w:adjustRightInd w:val="0"/>
        <w:spacing w:after="0" w:line="240" w:lineRule="auto"/>
        <w:rPr>
          <w:rFonts w:ascii="Times New Roman" w:hAnsi="Times New Roman" w:cs="Times New Roman"/>
          <w:b/>
          <w:bCs/>
          <w:sz w:val="24"/>
          <w:szCs w:val="24"/>
        </w:rPr>
      </w:pPr>
    </w:p>
    <w:p w:rsidR="00034C57" w:rsidRDefault="00034C57" w:rsidP="00034C57">
      <w:pPr>
        <w:autoSpaceDE w:val="0"/>
        <w:autoSpaceDN w:val="0"/>
        <w:adjustRightInd w:val="0"/>
        <w:spacing w:after="0" w:line="240" w:lineRule="auto"/>
        <w:rPr>
          <w:rFonts w:ascii="Times New Roman" w:hAnsi="Times New Roman" w:cs="Times New Roman"/>
          <w:b/>
          <w:bCs/>
          <w:sz w:val="24"/>
          <w:szCs w:val="24"/>
        </w:rPr>
      </w:pPr>
    </w:p>
    <w:p w:rsidR="00034C57" w:rsidRPr="00A32935" w:rsidRDefault="00034C57" w:rsidP="00034C57">
      <w:pPr>
        <w:pStyle w:val="Paragraphedeliste"/>
        <w:numPr>
          <w:ilvl w:val="2"/>
          <w:numId w:val="3"/>
        </w:numPr>
        <w:autoSpaceDE w:val="0"/>
        <w:autoSpaceDN w:val="0"/>
        <w:adjustRightInd w:val="0"/>
        <w:spacing w:after="0" w:line="240" w:lineRule="auto"/>
        <w:ind w:left="709"/>
        <w:rPr>
          <w:rFonts w:asciiTheme="majorBidi" w:hAnsiTheme="majorBidi" w:cs="Times New Roman"/>
          <w:b/>
          <w:bCs/>
          <w:sz w:val="24"/>
          <w:szCs w:val="24"/>
        </w:rPr>
      </w:pPr>
      <w:r>
        <w:rPr>
          <w:rFonts w:asciiTheme="majorBidi" w:hAnsiTheme="majorBidi" w:cs="Times New Roman"/>
          <w:b/>
          <w:bCs/>
          <w:sz w:val="24"/>
          <w:szCs w:val="24"/>
        </w:rPr>
        <w:lastRenderedPageBreak/>
        <w:t xml:space="preserve">Récepteurs des lipoprotéines </w:t>
      </w:r>
    </w:p>
    <w:p w:rsidR="00034C57" w:rsidRDefault="00034C57" w:rsidP="00034C57">
      <w:pPr>
        <w:autoSpaceDE w:val="0"/>
        <w:autoSpaceDN w:val="0"/>
        <w:adjustRightInd w:val="0"/>
        <w:spacing w:after="0" w:line="240" w:lineRule="auto"/>
        <w:ind w:firstLine="708"/>
        <w:rPr>
          <w:rFonts w:asciiTheme="majorBidi" w:hAnsiTheme="majorBidi" w:cs="Times New Roman"/>
          <w:b/>
          <w:bCs/>
          <w:sz w:val="28"/>
          <w:szCs w:val="28"/>
        </w:rPr>
      </w:pPr>
    </w:p>
    <w:p w:rsidR="00034C57" w:rsidRPr="00CB272D" w:rsidRDefault="00034C57" w:rsidP="00034C57">
      <w:pPr>
        <w:pStyle w:val="Paragraphedeliste"/>
        <w:numPr>
          <w:ilvl w:val="3"/>
          <w:numId w:val="3"/>
        </w:numPr>
        <w:autoSpaceDE w:val="0"/>
        <w:autoSpaceDN w:val="0"/>
        <w:adjustRightInd w:val="0"/>
        <w:spacing w:after="0" w:line="360" w:lineRule="auto"/>
        <w:ind w:left="1276"/>
        <w:jc w:val="both"/>
        <w:rPr>
          <w:rFonts w:asciiTheme="majorBidi" w:hAnsiTheme="majorBidi" w:cs="Times New Roman"/>
          <w:b/>
          <w:bCs/>
          <w:i/>
          <w:iCs/>
          <w:sz w:val="24"/>
          <w:szCs w:val="24"/>
        </w:rPr>
      </w:pPr>
      <w:r w:rsidRPr="00CB272D">
        <w:rPr>
          <w:rFonts w:asciiTheme="majorBidi" w:hAnsiTheme="majorBidi" w:cs="Times New Roman"/>
          <w:b/>
          <w:bCs/>
          <w:i/>
          <w:iCs/>
          <w:sz w:val="24"/>
          <w:szCs w:val="24"/>
        </w:rPr>
        <w:t xml:space="preserve"> Récepteur des LDL (LDLR) ou récepteur B/E :</w:t>
      </w:r>
    </w:p>
    <w:p w:rsidR="00034C57" w:rsidRPr="00A32935" w:rsidRDefault="00034C57" w:rsidP="00034C57">
      <w:pPr>
        <w:autoSpaceDE w:val="0"/>
        <w:autoSpaceDN w:val="0"/>
        <w:adjustRightInd w:val="0"/>
        <w:spacing w:after="0" w:line="360" w:lineRule="auto"/>
        <w:jc w:val="both"/>
        <w:rPr>
          <w:rFonts w:asciiTheme="majorBidi" w:hAnsiTheme="majorBidi" w:cs="Times New Roman"/>
          <w:b/>
          <w:bCs/>
          <w:sz w:val="24"/>
          <w:szCs w:val="24"/>
        </w:rPr>
      </w:pPr>
      <w:r w:rsidRPr="00A32935">
        <w:rPr>
          <w:rFonts w:asciiTheme="majorBidi" w:hAnsiTheme="majorBidi" w:cs="Times New Roman"/>
          <w:sz w:val="24"/>
          <w:szCs w:val="24"/>
        </w:rPr>
        <w:t xml:space="preserve"> </w:t>
      </w:r>
      <w:r w:rsidR="009B673C">
        <w:rPr>
          <w:rFonts w:asciiTheme="majorBidi" w:hAnsiTheme="majorBidi" w:cs="Times New Roman"/>
          <w:sz w:val="24"/>
          <w:szCs w:val="24"/>
        </w:rPr>
        <w:tab/>
        <w:t xml:space="preserve">     </w:t>
      </w:r>
      <w:r w:rsidRPr="00A32935">
        <w:rPr>
          <w:rFonts w:asciiTheme="majorBidi" w:hAnsiTheme="majorBidi" w:cs="Times New Roman"/>
          <w:sz w:val="24"/>
          <w:szCs w:val="24"/>
        </w:rPr>
        <w:t>Présent en grande quantité dans le foie. Il est capable de lier à l’Apolipoprotéine B, associée aux LDL (haute affinité pour Apo B100) et l’Apolipoprotéine E, associée aux IDL et remnants de chylomicrons.</w:t>
      </w: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r>
        <w:rPr>
          <w:rFonts w:asciiTheme="majorBidi" w:hAnsiTheme="majorBidi" w:cs="Times New Roman"/>
          <w:sz w:val="24"/>
          <w:szCs w:val="24"/>
        </w:rPr>
        <w:t xml:space="preserve">                En cas d’une reconnaissance entre le LDLR et ApoB100, un signal induit l’internalisation de la lipoprotéine qui est alors dégradée. Leur contenu est utilisé par la cellule puis le récepteur est recyclé à la surface </w:t>
      </w:r>
      <w:r>
        <w:rPr>
          <w:rFonts w:asciiTheme="majorBidi" w:hAnsiTheme="majorBidi" w:cs="Times New Roman"/>
          <w:b/>
          <w:bCs/>
          <w:sz w:val="24"/>
          <w:szCs w:val="24"/>
        </w:rPr>
        <w:t>(Bellier et Goetze, 2012).</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p>
    <w:p w:rsidR="00034C57" w:rsidRPr="00CB272D" w:rsidRDefault="00034C57" w:rsidP="00034C57">
      <w:pPr>
        <w:pStyle w:val="Paragraphedeliste"/>
        <w:numPr>
          <w:ilvl w:val="3"/>
          <w:numId w:val="3"/>
        </w:numPr>
        <w:autoSpaceDE w:val="0"/>
        <w:autoSpaceDN w:val="0"/>
        <w:adjustRightInd w:val="0"/>
        <w:spacing w:after="0" w:line="360" w:lineRule="auto"/>
        <w:ind w:left="1276"/>
        <w:jc w:val="both"/>
        <w:rPr>
          <w:rFonts w:asciiTheme="majorBidi" w:hAnsiTheme="majorBidi" w:cs="Times New Roman"/>
          <w:b/>
          <w:bCs/>
          <w:i/>
          <w:iCs/>
          <w:sz w:val="24"/>
          <w:szCs w:val="24"/>
        </w:rPr>
      </w:pPr>
      <w:r w:rsidRPr="00CB272D">
        <w:rPr>
          <w:rFonts w:asciiTheme="majorBidi" w:hAnsiTheme="majorBidi" w:cs="Times New Roman"/>
          <w:b/>
          <w:bCs/>
          <w:i/>
          <w:iCs/>
          <w:sz w:val="24"/>
          <w:szCs w:val="24"/>
        </w:rPr>
        <w:t>Récepteur des remnants de chylomicrons et VLDL ou LRP (LDL-ReceptorRelatedProtein) :</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r w:rsidRPr="00A32935">
        <w:rPr>
          <w:rFonts w:asciiTheme="majorBidi" w:hAnsiTheme="majorBidi" w:cs="Times New Roman"/>
          <w:sz w:val="24"/>
          <w:szCs w:val="24"/>
        </w:rPr>
        <w:t xml:space="preserve"> </w:t>
      </w:r>
      <w:r w:rsidR="009B673C">
        <w:rPr>
          <w:rFonts w:asciiTheme="majorBidi" w:hAnsiTheme="majorBidi" w:cs="Times New Roman"/>
          <w:sz w:val="24"/>
          <w:szCs w:val="24"/>
        </w:rPr>
        <w:tab/>
        <w:t xml:space="preserve">   </w:t>
      </w:r>
      <w:r w:rsidRPr="00A32935">
        <w:rPr>
          <w:rFonts w:asciiTheme="majorBidi" w:hAnsiTheme="majorBidi" w:cs="Times New Roman"/>
          <w:sz w:val="24"/>
          <w:szCs w:val="24"/>
        </w:rPr>
        <w:t>Il est également exprimé de façon ubiquitaire, majoritairement dans le foie, lié à l’ApoE, aussi la lipase hépatique (LH) et lipoprotéine lipase (LPL) sous forme dimérique lorsqu’elles sont associées aux IDL et résidus de Chylomicrons.</w:t>
      </w:r>
      <w:r>
        <w:rPr>
          <w:rFonts w:asciiTheme="majorBidi" w:hAnsiTheme="majorBidi" w:cs="Times New Roman"/>
          <w:sz w:val="24"/>
          <w:szCs w:val="24"/>
        </w:rPr>
        <w:t xml:space="preserve"> L’ApoC2 est un activateur important de la LPL, et l’Apo C3 est un inhibiteur de cette protéine (LPL) (</w:t>
      </w:r>
      <w:r>
        <w:rPr>
          <w:rFonts w:asciiTheme="majorBidi" w:hAnsiTheme="majorBidi" w:cs="Times New Roman"/>
          <w:b/>
          <w:bCs/>
          <w:sz w:val="24"/>
          <w:szCs w:val="24"/>
        </w:rPr>
        <w:t>Bellier et Goetze, 2012</w:t>
      </w:r>
      <w:r>
        <w:rPr>
          <w:rFonts w:asciiTheme="majorBidi" w:hAnsiTheme="majorBidi" w:cs="Times New Roman"/>
          <w:sz w:val="24"/>
          <w:szCs w:val="24"/>
        </w:rPr>
        <w:t>)</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p>
    <w:p w:rsidR="00034C57" w:rsidRPr="00CB272D" w:rsidRDefault="00034C57" w:rsidP="00034C57">
      <w:pPr>
        <w:pStyle w:val="Paragraphedeliste"/>
        <w:numPr>
          <w:ilvl w:val="3"/>
          <w:numId w:val="3"/>
        </w:numPr>
        <w:autoSpaceDE w:val="0"/>
        <w:autoSpaceDN w:val="0"/>
        <w:adjustRightInd w:val="0"/>
        <w:spacing w:after="0" w:line="360" w:lineRule="auto"/>
        <w:ind w:left="1276"/>
        <w:jc w:val="both"/>
        <w:rPr>
          <w:rFonts w:asciiTheme="majorBidi" w:hAnsiTheme="majorBidi" w:cs="Times New Roman"/>
          <w:i/>
          <w:iCs/>
          <w:sz w:val="24"/>
          <w:szCs w:val="24"/>
        </w:rPr>
      </w:pPr>
      <w:r w:rsidRPr="00CB272D">
        <w:rPr>
          <w:rFonts w:asciiTheme="majorBidi" w:hAnsiTheme="majorBidi" w:cs="Times New Roman"/>
          <w:b/>
          <w:bCs/>
          <w:i/>
          <w:iCs/>
          <w:sz w:val="24"/>
          <w:szCs w:val="24"/>
        </w:rPr>
        <w:t>Récepteurs des LDL modifiés ou récepteurs éboueurs (ScavengerReceptor) :</w:t>
      </w:r>
    </w:p>
    <w:p w:rsidR="00034C57" w:rsidRDefault="009B673C" w:rsidP="009B673C">
      <w:pPr>
        <w:autoSpaceDE w:val="0"/>
        <w:autoSpaceDN w:val="0"/>
        <w:adjustRightInd w:val="0"/>
        <w:spacing w:after="0" w:line="360" w:lineRule="auto"/>
        <w:ind w:firstLine="556"/>
        <w:jc w:val="both"/>
        <w:rPr>
          <w:rFonts w:asciiTheme="majorBidi" w:hAnsiTheme="majorBidi" w:cs="Times New Roman"/>
          <w:sz w:val="24"/>
          <w:szCs w:val="24"/>
        </w:rPr>
      </w:pPr>
      <w:r>
        <w:rPr>
          <w:rFonts w:asciiTheme="majorBidi" w:hAnsiTheme="majorBidi" w:cs="Times New Roman"/>
          <w:sz w:val="24"/>
          <w:szCs w:val="24"/>
        </w:rPr>
        <w:t xml:space="preserve">      </w:t>
      </w:r>
      <w:r w:rsidR="00034C57" w:rsidRPr="00A32935">
        <w:rPr>
          <w:rFonts w:asciiTheme="majorBidi" w:hAnsiTheme="majorBidi" w:cs="Times New Roman"/>
          <w:sz w:val="24"/>
          <w:szCs w:val="24"/>
        </w:rPr>
        <w:t>Ce sont des récepteurs particuliers qui ont un rôle important dans la pathologie.</w:t>
      </w:r>
      <w:r w:rsidR="00034C57">
        <w:rPr>
          <w:rFonts w:asciiTheme="majorBidi" w:hAnsiTheme="majorBidi" w:cs="Times New Roman"/>
          <w:sz w:val="24"/>
          <w:szCs w:val="24"/>
        </w:rPr>
        <w:t xml:space="preserve"> Ils sont présents à la surface des macrophages et vont lier au LDL, avec une faible affinité au LDL modifiées, avec une haute affinité.  Ces LDL modifiées correspondent à des LDL ayant circulé longtemps dans le sang et s’étant oxydé </w:t>
      </w:r>
      <w:r w:rsidR="00034C57">
        <w:rPr>
          <w:rFonts w:asciiTheme="majorBidi" w:hAnsiTheme="majorBidi" w:cs="Times New Roman"/>
          <w:b/>
          <w:bCs/>
          <w:sz w:val="24"/>
          <w:szCs w:val="24"/>
        </w:rPr>
        <w:t>(Bellier et Goetze, 2012).</w:t>
      </w:r>
    </w:p>
    <w:p w:rsidR="00034C57" w:rsidRDefault="00034C57" w:rsidP="009B673C">
      <w:pPr>
        <w:autoSpaceDE w:val="0"/>
        <w:autoSpaceDN w:val="0"/>
        <w:adjustRightInd w:val="0"/>
        <w:spacing w:after="0" w:line="360" w:lineRule="auto"/>
        <w:jc w:val="both"/>
        <w:rPr>
          <w:rFonts w:ascii="Times New Roman" w:hAnsi="Times New Roman" w:cs="Times New Roman"/>
          <w:b/>
          <w:bCs/>
          <w:sz w:val="24"/>
          <w:szCs w:val="24"/>
        </w:rPr>
      </w:pPr>
      <w:r>
        <w:rPr>
          <w:rFonts w:asciiTheme="majorBidi" w:hAnsiTheme="majorBidi" w:cs="Times New Roman"/>
          <w:sz w:val="24"/>
          <w:szCs w:val="24"/>
        </w:rPr>
        <w:t xml:space="preserve">               Il existe aussi un type de récepteurs éboueurs particuliers, le SR-BI (ScavengerReceptor class B type I) qui reconnait les HDL qui vont ramener le cholestérol vers le foie pour l’élimination et le relargage du contenu des HDL au niveau des tissus ayant besoin des cholestérols. </w:t>
      </w:r>
      <w:r>
        <w:rPr>
          <w:rFonts w:ascii="Times New Roman" w:hAnsi="Times New Roman" w:cs="Times New Roman"/>
          <w:sz w:val="24"/>
          <w:szCs w:val="24"/>
        </w:rPr>
        <w:t xml:space="preserve">SR-BI est un récepteur membranaire présent dans la plupart des cellules, et particulièrement les cellules hépatiques </w:t>
      </w:r>
      <w:r>
        <w:rPr>
          <w:rFonts w:ascii="Times New Roman" w:hAnsi="Times New Roman" w:cs="Times New Roman"/>
          <w:b/>
          <w:bCs/>
          <w:sz w:val="24"/>
          <w:szCs w:val="24"/>
        </w:rPr>
        <w:t xml:space="preserve">(Depla, 2011). </w:t>
      </w:r>
    </w:p>
    <w:p w:rsidR="009B673C" w:rsidRPr="009B673C" w:rsidRDefault="009B673C" w:rsidP="009B673C">
      <w:pPr>
        <w:autoSpaceDE w:val="0"/>
        <w:autoSpaceDN w:val="0"/>
        <w:adjustRightInd w:val="0"/>
        <w:spacing w:after="0" w:line="360" w:lineRule="auto"/>
        <w:jc w:val="both"/>
        <w:rPr>
          <w:rFonts w:ascii="Times New Roman" w:hAnsi="Times New Roman" w:cs="Times New Roman"/>
          <w:b/>
          <w:bCs/>
          <w:sz w:val="24"/>
          <w:szCs w:val="24"/>
        </w:rPr>
      </w:pPr>
    </w:p>
    <w:p w:rsidR="00034C57" w:rsidRPr="00A32935" w:rsidRDefault="00034C57" w:rsidP="00034C57">
      <w:pPr>
        <w:pStyle w:val="Paragraphedeliste"/>
        <w:numPr>
          <w:ilvl w:val="2"/>
          <w:numId w:val="3"/>
        </w:numPr>
        <w:autoSpaceDE w:val="0"/>
        <w:autoSpaceDN w:val="0"/>
        <w:adjustRightInd w:val="0"/>
        <w:spacing w:after="0" w:line="360" w:lineRule="auto"/>
        <w:ind w:left="709"/>
        <w:rPr>
          <w:rFonts w:asciiTheme="majorBidi" w:hAnsiTheme="majorBidi" w:cs="Times New Roman"/>
          <w:b/>
          <w:bCs/>
          <w:sz w:val="24"/>
          <w:szCs w:val="24"/>
        </w:rPr>
      </w:pPr>
      <w:r w:rsidRPr="009B45EC">
        <w:rPr>
          <w:rFonts w:asciiTheme="majorBidi" w:hAnsiTheme="majorBidi" w:cs="Times New Roman"/>
          <w:b/>
          <w:bCs/>
          <w:sz w:val="24"/>
          <w:szCs w:val="24"/>
        </w:rPr>
        <w:t>Enzymes et protéines de transfert</w:t>
      </w:r>
    </w:p>
    <w:p w:rsidR="00034C57" w:rsidRPr="00B42523" w:rsidRDefault="00034C57" w:rsidP="00034C57">
      <w:pPr>
        <w:pStyle w:val="Paragraphedeliste"/>
        <w:numPr>
          <w:ilvl w:val="3"/>
          <w:numId w:val="3"/>
        </w:numPr>
        <w:autoSpaceDE w:val="0"/>
        <w:autoSpaceDN w:val="0"/>
        <w:adjustRightInd w:val="0"/>
        <w:spacing w:after="0" w:line="360" w:lineRule="auto"/>
        <w:ind w:left="1418"/>
        <w:rPr>
          <w:rFonts w:asciiTheme="majorBidi" w:hAnsiTheme="majorBidi" w:cs="Times New Roman"/>
          <w:b/>
          <w:bCs/>
          <w:i/>
          <w:iCs/>
          <w:sz w:val="24"/>
          <w:szCs w:val="24"/>
        </w:rPr>
      </w:pPr>
      <w:r w:rsidRPr="00B42523">
        <w:rPr>
          <w:rFonts w:asciiTheme="majorBidi" w:hAnsiTheme="majorBidi" w:cs="Times New Roman"/>
          <w:b/>
          <w:bCs/>
          <w:i/>
          <w:iCs/>
          <w:sz w:val="24"/>
          <w:szCs w:val="24"/>
        </w:rPr>
        <w:t xml:space="preserve"> Enzymes de transfert:</w:t>
      </w:r>
    </w:p>
    <w:p w:rsidR="00034C57" w:rsidRPr="00A32935" w:rsidRDefault="00034C57" w:rsidP="00034C57">
      <w:pPr>
        <w:autoSpaceDE w:val="0"/>
        <w:autoSpaceDN w:val="0"/>
        <w:adjustRightInd w:val="0"/>
        <w:spacing w:after="0" w:line="360" w:lineRule="auto"/>
        <w:rPr>
          <w:rFonts w:asciiTheme="majorBidi" w:hAnsiTheme="majorBidi" w:cs="Times New Roman"/>
          <w:b/>
          <w:bCs/>
          <w:sz w:val="24"/>
          <w:szCs w:val="24"/>
        </w:rPr>
      </w:pPr>
      <w:r w:rsidRPr="00A32935">
        <w:rPr>
          <w:rFonts w:asciiTheme="majorBidi" w:hAnsiTheme="majorBidi" w:cs="Times New Roman"/>
          <w:sz w:val="24"/>
          <w:szCs w:val="24"/>
        </w:rPr>
        <w:t xml:space="preserve">De nombreuses enzymes sont impliquées dans le métabolisme des lipoprotéines parmi eux la LPL, présente à la surface de la paroi vasculaire, en contact avec la circulation sanguine, ainsi que  la LH </w:t>
      </w:r>
      <w:r w:rsidRPr="00A32935">
        <w:rPr>
          <w:rFonts w:ascii="Times New Roman" w:hAnsi="Times New Roman" w:cs="Times New Roman"/>
          <w:sz w:val="24"/>
          <w:szCs w:val="24"/>
        </w:rPr>
        <w:t xml:space="preserve">capables d’hydrolyser des substrats hydrophobes comme les triglycérides, le cholestérol ester et les phospholipides </w:t>
      </w:r>
      <w:r w:rsidRPr="00A32935">
        <w:rPr>
          <w:rFonts w:asciiTheme="majorBidi" w:hAnsiTheme="majorBidi" w:cs="Times New Roman"/>
          <w:sz w:val="24"/>
          <w:szCs w:val="24"/>
        </w:rPr>
        <w:t xml:space="preserve">et la Lécithine-cholestérol AcylTransférase (LCAT), </w:t>
      </w:r>
      <w:r w:rsidRPr="00A32935">
        <w:rPr>
          <w:rFonts w:asciiTheme="majorBidi" w:hAnsiTheme="majorBidi" w:cs="Times New Roman"/>
          <w:sz w:val="24"/>
          <w:szCs w:val="24"/>
        </w:rPr>
        <w:lastRenderedPageBreak/>
        <w:t xml:space="preserve">présente à la surface des HDL </w:t>
      </w:r>
      <w:r w:rsidRPr="00A32935">
        <w:rPr>
          <w:rFonts w:asciiTheme="majorBidi" w:eastAsia="TTE27BB9A8t00" w:hAnsiTheme="majorBidi" w:cs="Times New Roman"/>
          <w:sz w:val="24"/>
          <w:szCs w:val="24"/>
        </w:rPr>
        <w:t>elle convertit le cholestérol en ester de cholestérol dans le plasma (</w:t>
      </w:r>
      <w:r w:rsidRPr="00A32935">
        <w:rPr>
          <w:rFonts w:asciiTheme="majorBidi" w:eastAsia="TTE27BB9A8t00" w:hAnsiTheme="majorBidi" w:cs="Times New Roman"/>
          <w:b/>
          <w:bCs/>
          <w:sz w:val="24"/>
          <w:szCs w:val="24"/>
        </w:rPr>
        <w:t>Lamant, 2006</w:t>
      </w:r>
      <w:r w:rsidRPr="00A32935">
        <w:rPr>
          <w:rFonts w:asciiTheme="majorBidi" w:eastAsia="TTE27BB9A8t00" w:hAnsiTheme="majorBidi" w:cs="Times New Roman"/>
          <w:sz w:val="24"/>
          <w:szCs w:val="24"/>
        </w:rPr>
        <w:t>).</w:t>
      </w:r>
    </w:p>
    <w:p w:rsidR="00034C57" w:rsidRPr="00B42523" w:rsidRDefault="00034C57" w:rsidP="00034C57">
      <w:pPr>
        <w:pStyle w:val="Paragraphedeliste"/>
        <w:numPr>
          <w:ilvl w:val="3"/>
          <w:numId w:val="3"/>
        </w:numPr>
        <w:autoSpaceDE w:val="0"/>
        <w:autoSpaceDN w:val="0"/>
        <w:adjustRightInd w:val="0"/>
        <w:spacing w:after="0" w:line="360" w:lineRule="auto"/>
        <w:ind w:left="1276"/>
        <w:rPr>
          <w:rFonts w:asciiTheme="majorBidi" w:hAnsiTheme="majorBidi" w:cs="Times New Roman"/>
          <w:b/>
          <w:bCs/>
          <w:i/>
          <w:iCs/>
          <w:sz w:val="24"/>
          <w:szCs w:val="24"/>
        </w:rPr>
      </w:pPr>
      <w:r w:rsidRPr="00B42523">
        <w:rPr>
          <w:rFonts w:asciiTheme="majorBidi" w:hAnsiTheme="majorBidi" w:cs="Times New Roman"/>
          <w:b/>
          <w:bCs/>
          <w:i/>
          <w:iCs/>
          <w:sz w:val="24"/>
          <w:szCs w:val="24"/>
        </w:rPr>
        <w:t xml:space="preserve">Protéines </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r>
        <w:rPr>
          <w:rFonts w:asciiTheme="majorBidi" w:hAnsiTheme="majorBidi" w:cs="Times New Roman"/>
          <w:sz w:val="24"/>
          <w:szCs w:val="24"/>
        </w:rPr>
        <w:t xml:space="preserve">               On a également 2 protéines de transfert importantes : la Cholesterol Ester Transfer Protein (CETP) qui est une protéine d’échange du cholestérol. Et la PhosphoLipid Transfer Protein (PLTP)</w:t>
      </w:r>
      <w:r>
        <w:rPr>
          <w:rFonts w:ascii="Times New Roman" w:hAnsi="Times New Roman" w:cs="Times New Roman"/>
          <w:sz w:val="24"/>
          <w:szCs w:val="24"/>
        </w:rPr>
        <w:t xml:space="preserve"> qui est un facteur majeur régulant la taille et la composition des HDL ainsi que leur taux plasmatique,</w:t>
      </w:r>
      <w:r>
        <w:rPr>
          <w:rFonts w:asciiTheme="majorBidi" w:hAnsiTheme="majorBidi" w:cs="Times New Roman"/>
          <w:sz w:val="24"/>
          <w:szCs w:val="24"/>
        </w:rPr>
        <w:t xml:space="preserve">  elle assure les échanges de phospholipides des lipoprotéines riches en TG telle que les VLDL vers HDL.</w:t>
      </w:r>
      <w:r>
        <w:rPr>
          <w:rFonts w:ascii="Times New Roman" w:hAnsi="Times New Roman" w:cs="Times New Roman"/>
          <w:b/>
          <w:bCs/>
          <w:sz w:val="24"/>
          <w:szCs w:val="24"/>
        </w:rPr>
        <w:t xml:space="preserve"> (Faber, 2010).</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p>
    <w:p w:rsidR="00034C57" w:rsidRDefault="00034C57" w:rsidP="00034C57">
      <w:pPr>
        <w:pStyle w:val="Paragraphedeliste"/>
        <w:numPr>
          <w:ilvl w:val="0"/>
          <w:numId w:val="3"/>
        </w:numPr>
        <w:autoSpaceDE w:val="0"/>
        <w:autoSpaceDN w:val="0"/>
        <w:adjustRightInd w:val="0"/>
        <w:spacing w:after="0" w:line="360" w:lineRule="auto"/>
        <w:jc w:val="both"/>
        <w:rPr>
          <w:rFonts w:asciiTheme="majorBidi" w:hAnsiTheme="majorBidi" w:cs="Times New Roman"/>
          <w:b/>
          <w:bCs/>
          <w:sz w:val="24"/>
          <w:szCs w:val="24"/>
        </w:rPr>
      </w:pPr>
      <w:r w:rsidRPr="009B45EC">
        <w:rPr>
          <w:rFonts w:asciiTheme="majorBidi" w:hAnsiTheme="majorBidi" w:cs="Times New Roman"/>
          <w:b/>
          <w:bCs/>
          <w:sz w:val="24"/>
          <w:szCs w:val="24"/>
        </w:rPr>
        <w:t>Les trois grandes voies de métabolisme des lipoprotéines</w:t>
      </w:r>
    </w:p>
    <w:p w:rsidR="00034C57" w:rsidRPr="00C72344" w:rsidRDefault="00034C57" w:rsidP="00034C57">
      <w:pPr>
        <w:pStyle w:val="Paragraphedeliste"/>
        <w:autoSpaceDE w:val="0"/>
        <w:autoSpaceDN w:val="0"/>
        <w:adjustRightInd w:val="0"/>
        <w:spacing w:after="0" w:line="360" w:lineRule="auto"/>
        <w:jc w:val="both"/>
        <w:rPr>
          <w:rFonts w:asciiTheme="majorBidi" w:hAnsiTheme="majorBidi" w:cs="Times New Roman"/>
          <w:b/>
          <w:bCs/>
          <w:sz w:val="24"/>
          <w:szCs w:val="24"/>
        </w:rPr>
      </w:pPr>
      <w:r w:rsidRPr="00C72344">
        <w:rPr>
          <w:rFonts w:asciiTheme="majorBidi" w:hAnsiTheme="majorBidi" w:cs="Times New Roman"/>
          <w:sz w:val="24"/>
          <w:szCs w:val="24"/>
        </w:rPr>
        <w:t xml:space="preserve"> Il existe trois voies principales dans le métabolisme des lipoprotéines </w:t>
      </w:r>
      <w:r w:rsidRPr="00C72344">
        <w:rPr>
          <w:rFonts w:asciiTheme="majorBidi" w:hAnsiTheme="majorBidi" w:cs="Times New Roman"/>
          <w:b/>
          <w:bCs/>
          <w:sz w:val="24"/>
          <w:szCs w:val="24"/>
        </w:rPr>
        <w:t>(Jammart,              2012)</w:t>
      </w:r>
      <w:r w:rsidRPr="00C72344">
        <w:rPr>
          <w:rFonts w:asciiTheme="majorBidi" w:hAnsiTheme="majorBidi" w:cs="Times New Roman"/>
          <w:sz w:val="24"/>
          <w:szCs w:val="24"/>
        </w:rPr>
        <w:t xml:space="preserve">: </w:t>
      </w:r>
    </w:p>
    <w:p w:rsidR="00034C57" w:rsidRPr="00FC1BFF" w:rsidRDefault="00034C57" w:rsidP="00034C57">
      <w:pPr>
        <w:pStyle w:val="Paragraphedeliste"/>
        <w:numPr>
          <w:ilvl w:val="0"/>
          <w:numId w:val="5"/>
        </w:numPr>
        <w:autoSpaceDE w:val="0"/>
        <w:autoSpaceDN w:val="0"/>
        <w:adjustRightInd w:val="0"/>
        <w:spacing w:after="0" w:line="360" w:lineRule="auto"/>
        <w:ind w:left="1134"/>
        <w:jc w:val="both"/>
        <w:rPr>
          <w:rFonts w:asciiTheme="majorBidi" w:hAnsiTheme="majorBidi" w:cs="Times New Roman"/>
          <w:sz w:val="24"/>
          <w:szCs w:val="24"/>
        </w:rPr>
      </w:pPr>
      <w:r w:rsidRPr="00FC1BFF">
        <w:rPr>
          <w:rFonts w:asciiTheme="majorBidi" w:hAnsiTheme="majorBidi" w:cs="Times New Roman"/>
          <w:b/>
          <w:bCs/>
          <w:sz w:val="24"/>
          <w:szCs w:val="24"/>
        </w:rPr>
        <w:t xml:space="preserve">Voie exogène </w:t>
      </w:r>
      <w:r w:rsidRPr="00FC1BFF">
        <w:rPr>
          <w:rFonts w:asciiTheme="majorBidi" w:hAnsiTheme="majorBidi" w:cs="Times New Roman"/>
          <w:sz w:val="24"/>
          <w:szCs w:val="24"/>
        </w:rPr>
        <w:t>: correspond aux apports de l’alimentation. Il s’agit du transport des lipides de l’intestin vers le foie.</w:t>
      </w:r>
    </w:p>
    <w:p w:rsidR="00034C57" w:rsidRDefault="00034C57" w:rsidP="00034C57">
      <w:pPr>
        <w:pStyle w:val="Paragraphedeliste"/>
        <w:numPr>
          <w:ilvl w:val="0"/>
          <w:numId w:val="5"/>
        </w:numPr>
        <w:autoSpaceDE w:val="0"/>
        <w:autoSpaceDN w:val="0"/>
        <w:adjustRightInd w:val="0"/>
        <w:spacing w:after="0" w:line="360" w:lineRule="auto"/>
        <w:ind w:left="1134"/>
        <w:jc w:val="both"/>
        <w:rPr>
          <w:rFonts w:asciiTheme="majorBidi" w:hAnsiTheme="majorBidi" w:cs="Times New Roman"/>
          <w:sz w:val="24"/>
          <w:szCs w:val="24"/>
        </w:rPr>
      </w:pPr>
      <w:r>
        <w:rPr>
          <w:rFonts w:asciiTheme="majorBidi" w:hAnsiTheme="majorBidi" w:cs="Times New Roman"/>
          <w:b/>
          <w:bCs/>
          <w:sz w:val="24"/>
          <w:szCs w:val="24"/>
        </w:rPr>
        <w:t xml:space="preserve">Voie endogène </w:t>
      </w:r>
      <w:r>
        <w:rPr>
          <w:rFonts w:asciiTheme="majorBidi" w:hAnsiTheme="majorBidi" w:cs="Times New Roman"/>
          <w:sz w:val="24"/>
          <w:szCs w:val="24"/>
        </w:rPr>
        <w:t>: c’est la voie de redistribution à partir du foie.</w:t>
      </w:r>
    </w:p>
    <w:p w:rsidR="00034C57" w:rsidRDefault="00034C57" w:rsidP="00034C57">
      <w:pPr>
        <w:pStyle w:val="Paragraphedeliste"/>
        <w:numPr>
          <w:ilvl w:val="0"/>
          <w:numId w:val="5"/>
        </w:numPr>
        <w:autoSpaceDE w:val="0"/>
        <w:autoSpaceDN w:val="0"/>
        <w:adjustRightInd w:val="0"/>
        <w:spacing w:after="0" w:line="360" w:lineRule="auto"/>
        <w:ind w:left="1134"/>
        <w:jc w:val="both"/>
        <w:rPr>
          <w:rFonts w:asciiTheme="majorBidi" w:hAnsiTheme="majorBidi" w:cs="Times New Roman"/>
          <w:sz w:val="24"/>
          <w:szCs w:val="24"/>
        </w:rPr>
      </w:pPr>
      <w:r>
        <w:rPr>
          <w:noProof/>
          <w:lang w:eastAsia="fr-FR"/>
        </w:rPr>
        <w:drawing>
          <wp:anchor distT="0" distB="0" distL="114300" distR="114300" simplePos="0" relativeHeight="251667456" behindDoc="1" locked="0" layoutInCell="1" allowOverlap="1">
            <wp:simplePos x="0" y="0"/>
            <wp:positionH relativeFrom="column">
              <wp:posOffset>129540</wp:posOffset>
            </wp:positionH>
            <wp:positionV relativeFrom="paragraph">
              <wp:posOffset>596265</wp:posOffset>
            </wp:positionV>
            <wp:extent cx="5819140" cy="3805555"/>
            <wp:effectExtent l="19050" t="19050" r="0" b="4445"/>
            <wp:wrapTight wrapText="bothSides">
              <wp:wrapPolygon edited="0">
                <wp:start x="-71" y="-108"/>
                <wp:lineTo x="-71" y="21625"/>
                <wp:lineTo x="21567" y="21625"/>
                <wp:lineTo x="21567" y="-108"/>
                <wp:lineTo x="-71" y="-108"/>
              </wp:wrapPolygon>
            </wp:wrapTight>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140" cy="3805555"/>
                    </a:xfrm>
                    <a:prstGeom prst="rect">
                      <a:avLst/>
                    </a:prstGeom>
                    <a:noFill/>
                    <a:ln w="9525">
                      <a:solidFill>
                        <a:srgbClr val="000000"/>
                      </a:solidFill>
                      <a:miter lim="800000"/>
                      <a:headEnd/>
                      <a:tailEnd/>
                    </a:ln>
                  </pic:spPr>
                </pic:pic>
              </a:graphicData>
            </a:graphic>
          </wp:anchor>
        </w:drawing>
      </w:r>
      <w:r>
        <w:rPr>
          <w:rFonts w:asciiTheme="majorBidi" w:hAnsiTheme="majorBidi" w:cs="Times New Roman"/>
          <w:b/>
          <w:bCs/>
          <w:sz w:val="24"/>
          <w:szCs w:val="24"/>
        </w:rPr>
        <w:t xml:space="preserve">Voie inverse </w:t>
      </w:r>
      <w:r>
        <w:rPr>
          <w:rFonts w:asciiTheme="majorBidi" w:hAnsiTheme="majorBidi" w:cs="Times New Roman"/>
          <w:sz w:val="24"/>
          <w:szCs w:val="24"/>
        </w:rPr>
        <w:t xml:space="preserve">: retour, depuis la périphérie vers le foie, de l’excédent de cholestérol en vue de son élimination. </w:t>
      </w:r>
    </w:p>
    <w:p w:rsidR="00034C57" w:rsidRDefault="00034C57" w:rsidP="00034C57">
      <w:pPr>
        <w:autoSpaceDE w:val="0"/>
        <w:autoSpaceDN w:val="0"/>
        <w:adjustRightInd w:val="0"/>
        <w:spacing w:after="0" w:line="360" w:lineRule="auto"/>
        <w:jc w:val="center"/>
        <w:rPr>
          <w:rFonts w:asciiTheme="majorBidi" w:hAnsiTheme="majorBidi" w:cs="Times New Roman"/>
          <w:b/>
          <w:bCs/>
          <w:sz w:val="24"/>
          <w:szCs w:val="24"/>
        </w:rPr>
      </w:pPr>
      <w:r>
        <w:rPr>
          <w:rFonts w:asciiTheme="majorBidi" w:hAnsiTheme="majorBidi" w:cs="Times New Roman"/>
          <w:b/>
          <w:bCs/>
          <w:noProof/>
          <w:sz w:val="24"/>
          <w:szCs w:val="24"/>
          <w:lang w:eastAsia="fr-FR"/>
        </w:rPr>
        <w:t>Figure I</w:t>
      </w:r>
      <w:r>
        <w:rPr>
          <w:rFonts w:asciiTheme="majorBidi" w:hAnsiTheme="majorBidi" w:cs="Times New Roman"/>
          <w:sz w:val="24"/>
          <w:szCs w:val="24"/>
        </w:rPr>
        <w:t>.</w:t>
      </w:r>
      <w:r>
        <w:rPr>
          <w:rFonts w:asciiTheme="majorBidi" w:hAnsiTheme="majorBidi" w:cs="Times New Roman"/>
          <w:b/>
          <w:bCs/>
          <w:sz w:val="24"/>
          <w:szCs w:val="24"/>
        </w:rPr>
        <w:t>10.</w:t>
      </w:r>
      <w:r>
        <w:rPr>
          <w:rFonts w:asciiTheme="majorBidi" w:hAnsiTheme="majorBidi" w:cs="Times New Roman"/>
          <w:sz w:val="24"/>
          <w:szCs w:val="24"/>
        </w:rPr>
        <w:t xml:space="preserve"> Schéma représentatif  des voies métaboliques des lipides </w:t>
      </w:r>
      <w:r>
        <w:rPr>
          <w:rFonts w:asciiTheme="majorBidi" w:hAnsiTheme="majorBidi" w:cs="Times New Roman"/>
          <w:b/>
          <w:bCs/>
          <w:sz w:val="24"/>
          <w:szCs w:val="24"/>
        </w:rPr>
        <w:t>(Jammart, 2012)</w:t>
      </w:r>
    </w:p>
    <w:p w:rsidR="0057792C" w:rsidRDefault="0057792C" w:rsidP="00034C57">
      <w:pPr>
        <w:autoSpaceDE w:val="0"/>
        <w:autoSpaceDN w:val="0"/>
        <w:adjustRightInd w:val="0"/>
        <w:spacing w:after="0" w:line="360" w:lineRule="auto"/>
        <w:jc w:val="center"/>
        <w:rPr>
          <w:rFonts w:asciiTheme="majorBidi" w:hAnsiTheme="majorBidi" w:cs="Times New Roman"/>
          <w:b/>
          <w:bCs/>
          <w:sz w:val="24"/>
          <w:szCs w:val="24"/>
        </w:rPr>
      </w:pPr>
    </w:p>
    <w:p w:rsidR="00034C57" w:rsidRDefault="00034C57" w:rsidP="00034C57">
      <w:pPr>
        <w:autoSpaceDE w:val="0"/>
        <w:autoSpaceDN w:val="0"/>
        <w:adjustRightInd w:val="0"/>
        <w:spacing w:after="0" w:line="240" w:lineRule="auto"/>
        <w:rPr>
          <w:rFonts w:asciiTheme="majorBidi" w:hAnsiTheme="majorBidi" w:cs="Times New Roman"/>
          <w:b/>
          <w:bCs/>
          <w:sz w:val="28"/>
          <w:szCs w:val="28"/>
        </w:rPr>
      </w:pPr>
    </w:p>
    <w:p w:rsidR="00034C57" w:rsidRPr="00A32935" w:rsidRDefault="00034C57" w:rsidP="00034C57">
      <w:pPr>
        <w:pStyle w:val="Paragraphedeliste"/>
        <w:numPr>
          <w:ilvl w:val="1"/>
          <w:numId w:val="3"/>
        </w:numPr>
        <w:autoSpaceDE w:val="0"/>
        <w:autoSpaceDN w:val="0"/>
        <w:adjustRightInd w:val="0"/>
        <w:spacing w:after="0" w:line="240" w:lineRule="auto"/>
        <w:rPr>
          <w:rFonts w:asciiTheme="majorBidi" w:hAnsiTheme="majorBidi" w:cs="Times New Roman"/>
          <w:b/>
          <w:bCs/>
          <w:sz w:val="28"/>
          <w:szCs w:val="28"/>
        </w:rPr>
      </w:pPr>
      <w:r w:rsidRPr="00A32935">
        <w:rPr>
          <w:rFonts w:asciiTheme="majorBidi" w:hAnsiTheme="majorBidi" w:cs="Times New Roman"/>
          <w:b/>
          <w:bCs/>
          <w:sz w:val="28"/>
          <w:szCs w:val="28"/>
        </w:rPr>
        <w:lastRenderedPageBreak/>
        <w:t>Voie exogène</w:t>
      </w:r>
    </w:p>
    <w:p w:rsidR="00034C57" w:rsidRPr="00A32935" w:rsidRDefault="00034C57" w:rsidP="00034C57">
      <w:pPr>
        <w:autoSpaceDE w:val="0"/>
        <w:autoSpaceDN w:val="0"/>
        <w:adjustRightInd w:val="0"/>
        <w:spacing w:after="0" w:line="240" w:lineRule="auto"/>
        <w:ind w:left="360"/>
        <w:rPr>
          <w:rFonts w:asciiTheme="majorBidi" w:hAnsiTheme="majorBidi" w:cs="Times New Roman"/>
          <w:b/>
          <w:bCs/>
          <w:sz w:val="28"/>
          <w:szCs w:val="28"/>
        </w:rPr>
      </w:pPr>
    </w:p>
    <w:p w:rsidR="00034C57" w:rsidRDefault="009B673C" w:rsidP="009B673C">
      <w:pPr>
        <w:autoSpaceDE w:val="0"/>
        <w:autoSpaceDN w:val="0"/>
        <w:adjustRightInd w:val="0"/>
        <w:spacing w:after="0" w:line="360" w:lineRule="auto"/>
        <w:ind w:firstLine="708"/>
        <w:jc w:val="both"/>
        <w:rPr>
          <w:rFonts w:asciiTheme="majorBidi" w:hAnsiTheme="majorBidi" w:cs="Times New Roman"/>
          <w:b/>
          <w:bCs/>
          <w:sz w:val="24"/>
          <w:szCs w:val="24"/>
        </w:rPr>
      </w:pPr>
      <w:r>
        <w:rPr>
          <w:rFonts w:asciiTheme="majorBidi" w:hAnsiTheme="majorBidi" w:cs="Times New Roman"/>
          <w:sz w:val="24"/>
          <w:szCs w:val="24"/>
        </w:rPr>
        <w:t xml:space="preserve">       </w:t>
      </w:r>
      <w:r w:rsidR="00034C57">
        <w:rPr>
          <w:rFonts w:asciiTheme="majorBidi" w:hAnsiTheme="majorBidi" w:cs="Times New Roman"/>
          <w:sz w:val="24"/>
          <w:szCs w:val="24"/>
        </w:rPr>
        <w:t xml:space="preserve">Lorsque l’on mange, on absorbe essentiellement des triglycérides (75% du gras de l’alimentation), des phospholipides et un peu de cholestérol. La digestion permet un premier découpage des lipides par action de la lipase gastrique puis émulsifiés par les acides biliaires (lipases pancréatiques). Des acides gras et du glycérol sont générés. Les acides gras sont dirigés vers les cellules épithéliales intestinales où a lieu la synthèse de TG. Les lipides étant insolubles dans le milieu aqueux, une lipoprotéine est essentielle  pour les transporter dans le sang : c’est le chylomicron </w:t>
      </w:r>
      <w:r w:rsidR="00034C57" w:rsidRPr="00507105">
        <w:rPr>
          <w:rFonts w:asciiTheme="majorBidi" w:hAnsiTheme="majorBidi" w:cs="Times New Roman"/>
          <w:b/>
          <w:bCs/>
          <w:sz w:val="24"/>
          <w:szCs w:val="24"/>
        </w:rPr>
        <w:t>(figure I.11)</w:t>
      </w:r>
      <w:r w:rsidR="002F4B74">
        <w:rPr>
          <w:rFonts w:asciiTheme="majorBidi" w:hAnsiTheme="majorBidi" w:cs="Times New Roman"/>
          <w:b/>
          <w:bCs/>
          <w:sz w:val="24"/>
          <w:szCs w:val="24"/>
        </w:rPr>
        <w:t xml:space="preserve"> </w:t>
      </w:r>
      <w:r w:rsidR="00034C57" w:rsidRPr="00507105">
        <w:rPr>
          <w:rFonts w:asciiTheme="majorBidi" w:hAnsiTheme="majorBidi" w:cs="Times New Roman"/>
          <w:b/>
          <w:bCs/>
          <w:sz w:val="24"/>
          <w:szCs w:val="24"/>
        </w:rPr>
        <w:t>(</w:t>
      </w:r>
      <w:r w:rsidR="00034C57">
        <w:rPr>
          <w:rFonts w:asciiTheme="majorBidi" w:hAnsiTheme="majorBidi" w:cs="Times New Roman"/>
          <w:b/>
          <w:bCs/>
          <w:sz w:val="24"/>
          <w:szCs w:val="24"/>
        </w:rPr>
        <w:t>Walic, 2013).</w:t>
      </w:r>
    </w:p>
    <w:p w:rsidR="00034C57" w:rsidRDefault="009B673C" w:rsidP="00034C57">
      <w:pPr>
        <w:autoSpaceDE w:val="0"/>
        <w:autoSpaceDN w:val="0"/>
        <w:adjustRightInd w:val="0"/>
        <w:spacing w:after="0" w:line="360" w:lineRule="auto"/>
        <w:jc w:val="both"/>
        <w:rPr>
          <w:rFonts w:asciiTheme="majorBidi" w:hAnsiTheme="majorBidi" w:cs="Times New Roman"/>
          <w:b/>
          <w:bCs/>
          <w:sz w:val="24"/>
          <w:szCs w:val="24"/>
        </w:rPr>
      </w:pPr>
      <w:r>
        <w:rPr>
          <w:noProof/>
          <w:lang w:eastAsia="fr-FR"/>
        </w:rPr>
        <w:drawing>
          <wp:anchor distT="0" distB="0" distL="114300" distR="114300" simplePos="0" relativeHeight="251672576" behindDoc="1" locked="0" layoutInCell="1" allowOverlap="1">
            <wp:simplePos x="0" y="0"/>
            <wp:positionH relativeFrom="column">
              <wp:posOffset>414020</wp:posOffset>
            </wp:positionH>
            <wp:positionV relativeFrom="paragraph">
              <wp:posOffset>135890</wp:posOffset>
            </wp:positionV>
            <wp:extent cx="4819650" cy="3781425"/>
            <wp:effectExtent l="19050" t="19050" r="19050" b="28575"/>
            <wp:wrapTight wrapText="bothSides">
              <wp:wrapPolygon edited="0">
                <wp:start x="-85" y="-109"/>
                <wp:lineTo x="-85" y="21763"/>
                <wp:lineTo x="21685" y="21763"/>
                <wp:lineTo x="21685" y="-109"/>
                <wp:lineTo x="-85" y="-109"/>
              </wp:wrapPolygon>
            </wp:wrapTight>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3781425"/>
                    </a:xfrm>
                    <a:prstGeom prst="rect">
                      <a:avLst/>
                    </a:prstGeom>
                    <a:noFill/>
                    <a:ln w="9525">
                      <a:solidFill>
                        <a:srgbClr val="000000"/>
                      </a:solidFill>
                      <a:miter lim="800000"/>
                      <a:headEnd/>
                      <a:tailEnd/>
                    </a:ln>
                  </pic:spPr>
                </pic:pic>
              </a:graphicData>
            </a:graphic>
          </wp:anchor>
        </w:drawing>
      </w:r>
      <w:r w:rsidR="00824C86" w:rsidRPr="00824C86">
        <w:rPr>
          <w:noProof/>
          <w:lang w:eastAsia="fr-FR"/>
        </w:rPr>
        <w:pict>
          <v:rect id="Rectangle 24" o:spid="_x0000_s1049" style="position:absolute;left:0;text-align:left;margin-left:39.05pt;margin-top:13.55pt;width:184.15pt;height:22.8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" stroked="f"/>
        </w:pict>
      </w: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p>
    <w:p w:rsidR="009B673C" w:rsidRDefault="009B673C" w:rsidP="00034C57">
      <w:pPr>
        <w:autoSpaceDE w:val="0"/>
        <w:autoSpaceDN w:val="0"/>
        <w:adjustRightInd w:val="0"/>
        <w:spacing w:after="0" w:line="360" w:lineRule="auto"/>
        <w:jc w:val="both"/>
        <w:rPr>
          <w:rFonts w:asciiTheme="majorBidi" w:hAnsiTheme="majorBidi" w:cs="Times New Roman"/>
          <w:sz w:val="24"/>
          <w:szCs w:val="24"/>
        </w:rPr>
      </w:pPr>
    </w:p>
    <w:p w:rsidR="009B673C" w:rsidRDefault="009B673C" w:rsidP="00034C57">
      <w:pPr>
        <w:autoSpaceDE w:val="0"/>
        <w:autoSpaceDN w:val="0"/>
        <w:adjustRightInd w:val="0"/>
        <w:spacing w:after="0" w:line="360" w:lineRule="auto"/>
        <w:jc w:val="both"/>
        <w:rPr>
          <w:rFonts w:asciiTheme="majorBidi" w:hAnsiTheme="majorBidi" w:cs="Times New Roman"/>
          <w:sz w:val="24"/>
          <w:szCs w:val="24"/>
        </w:rPr>
      </w:pPr>
    </w:p>
    <w:p w:rsidR="00034C57" w:rsidRDefault="00034C57" w:rsidP="00034C57">
      <w:pPr>
        <w:autoSpaceDE w:val="0"/>
        <w:autoSpaceDN w:val="0"/>
        <w:adjustRightInd w:val="0"/>
        <w:spacing w:after="0" w:line="240" w:lineRule="auto"/>
        <w:jc w:val="center"/>
        <w:rPr>
          <w:rFonts w:asciiTheme="majorBidi" w:hAnsiTheme="majorBidi" w:cs="Times New Roman"/>
          <w:sz w:val="24"/>
          <w:szCs w:val="24"/>
        </w:rPr>
      </w:pPr>
      <w:r w:rsidRPr="00EB1EC5">
        <w:rPr>
          <w:rFonts w:asciiTheme="majorBidi" w:hAnsiTheme="majorBidi" w:cs="Times New Roman"/>
          <w:b/>
          <w:bCs/>
          <w:sz w:val="24"/>
          <w:szCs w:val="24"/>
        </w:rPr>
        <w:t>Fig</w:t>
      </w:r>
      <w:r>
        <w:rPr>
          <w:rFonts w:asciiTheme="majorBidi" w:hAnsiTheme="majorBidi" w:cs="Times New Roman"/>
          <w:b/>
          <w:bCs/>
          <w:sz w:val="24"/>
          <w:szCs w:val="24"/>
        </w:rPr>
        <w:t>ure I.11</w:t>
      </w:r>
      <w:r w:rsidRPr="0064678E">
        <w:rPr>
          <w:rFonts w:asciiTheme="majorBidi" w:hAnsiTheme="majorBidi" w:cs="Times New Roman"/>
          <w:b/>
          <w:bCs/>
          <w:sz w:val="24"/>
          <w:szCs w:val="24"/>
        </w:rPr>
        <w:t xml:space="preserve">.  </w:t>
      </w:r>
      <w:r w:rsidRPr="00452785">
        <w:rPr>
          <w:rFonts w:asciiTheme="majorBidi" w:hAnsiTheme="majorBidi" w:cs="Times New Roman"/>
          <w:sz w:val="24"/>
          <w:szCs w:val="24"/>
        </w:rPr>
        <w:t xml:space="preserve">Voie des lipides </w:t>
      </w:r>
      <w:r>
        <w:rPr>
          <w:rFonts w:asciiTheme="majorBidi" w:hAnsiTheme="majorBidi" w:cs="Times New Roman"/>
          <w:sz w:val="24"/>
          <w:szCs w:val="24"/>
        </w:rPr>
        <w:t>exogènes</w:t>
      </w:r>
    </w:p>
    <w:p w:rsidR="00034C57" w:rsidRPr="00D35C94" w:rsidRDefault="00034C57" w:rsidP="00034C57">
      <w:pPr>
        <w:autoSpaceDE w:val="0"/>
        <w:autoSpaceDN w:val="0"/>
        <w:adjustRightInd w:val="0"/>
        <w:spacing w:after="0" w:line="240" w:lineRule="auto"/>
        <w:jc w:val="center"/>
        <w:rPr>
          <w:rFonts w:asciiTheme="majorBidi" w:hAnsiTheme="majorBidi" w:cs="Times New Roman"/>
        </w:rPr>
      </w:pPr>
      <w:r>
        <w:rPr>
          <w:rFonts w:asciiTheme="majorBidi" w:hAnsiTheme="majorBidi" w:cs="Times New Roman"/>
        </w:rPr>
        <w:t>(</w:t>
      </w:r>
      <w:r w:rsidRPr="00D35C94">
        <w:rPr>
          <w:rFonts w:asciiTheme="majorBidi" w:hAnsiTheme="majorBidi" w:cs="Times New Roman"/>
        </w:rPr>
        <w:t>http://docplayer.fr/4672495-Cas-clinique-n-1-rappel-le-metabolisme-des-lipoproteines.html</w:t>
      </w:r>
      <w:r>
        <w:rPr>
          <w:rFonts w:asciiTheme="majorBidi" w:hAnsiTheme="majorBidi" w:cs="Times New Roman"/>
        </w:rPr>
        <w:t>)</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p>
    <w:p w:rsidR="00034C57" w:rsidRPr="009B673C" w:rsidRDefault="009B673C" w:rsidP="009B673C">
      <w:pPr>
        <w:autoSpaceDE w:val="0"/>
        <w:autoSpaceDN w:val="0"/>
        <w:adjustRightInd w:val="0"/>
        <w:spacing w:after="0" w:line="360" w:lineRule="auto"/>
        <w:ind w:firstLine="708"/>
        <w:jc w:val="both"/>
        <w:rPr>
          <w:rFonts w:asciiTheme="majorBidi" w:hAnsiTheme="majorBidi" w:cs="Times New Roman"/>
          <w:sz w:val="24"/>
          <w:szCs w:val="24"/>
        </w:rPr>
      </w:pPr>
      <w:r>
        <w:rPr>
          <w:rFonts w:asciiTheme="majorBidi" w:hAnsiTheme="majorBidi" w:cs="Times New Roman"/>
          <w:sz w:val="24"/>
          <w:szCs w:val="24"/>
        </w:rPr>
        <w:t xml:space="preserve"> </w:t>
      </w:r>
      <w:r w:rsidR="00034C57">
        <w:rPr>
          <w:rFonts w:asciiTheme="majorBidi" w:hAnsiTheme="majorBidi" w:cs="Times New Roman"/>
          <w:sz w:val="24"/>
          <w:szCs w:val="24"/>
        </w:rPr>
        <w:t xml:space="preserve">Les </w:t>
      </w:r>
      <w:r>
        <w:rPr>
          <w:rFonts w:asciiTheme="majorBidi" w:hAnsiTheme="majorBidi" w:cs="Times New Roman"/>
          <w:sz w:val="24"/>
          <w:szCs w:val="24"/>
        </w:rPr>
        <w:t>C</w:t>
      </w:r>
      <w:r w:rsidR="00034C57">
        <w:rPr>
          <w:rFonts w:asciiTheme="majorBidi" w:hAnsiTheme="majorBidi" w:cs="Times New Roman"/>
          <w:sz w:val="24"/>
          <w:szCs w:val="24"/>
        </w:rPr>
        <w:t xml:space="preserve">hylomicrons sont chargés essentiellement de triglycérides. Au fur et à mesure de la circulation, la lipoprotéine Lipase (LPL) activée par l’Apo CII va hydrolyser les triglycérides en acide gras et glycérol </w:t>
      </w:r>
      <w:r w:rsidR="00034C57">
        <w:rPr>
          <w:rFonts w:asciiTheme="majorBidi" w:hAnsiTheme="majorBidi" w:cs="Times New Roman"/>
          <w:b/>
          <w:bCs/>
          <w:sz w:val="24"/>
          <w:szCs w:val="24"/>
        </w:rPr>
        <w:t>(Bellier et Goetze, 2012).</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r>
        <w:rPr>
          <w:rFonts w:asciiTheme="majorBidi" w:hAnsiTheme="majorBidi" w:cs="Times New Roman"/>
          <w:sz w:val="24"/>
          <w:szCs w:val="24"/>
        </w:rPr>
        <w:t xml:space="preserve">              Une fois ces acides gras libres, ils vont alors pouvoir rentrer dans la cellule. Le sac va donc se vider petit à petit, jusqu’à être totalement vide et devenir un remnant de chylomicron. Comme le fait de vider le sac déstabilise la structure, on a un recyclage de morceaux de </w:t>
      </w:r>
      <w:r>
        <w:rPr>
          <w:rFonts w:asciiTheme="majorBidi" w:hAnsiTheme="majorBidi" w:cs="Times New Roman"/>
          <w:sz w:val="24"/>
          <w:szCs w:val="24"/>
        </w:rPr>
        <w:lastRenderedPageBreak/>
        <w:t>membranes qui vont générer des HDL naissants très riches en ApoA1. Le reste du sac va être recyclé au foie via l’exposition du récepteur LRP et liaison à ApoE (puis internalisation).</w:t>
      </w:r>
    </w:p>
    <w:p w:rsidR="00034C57" w:rsidRPr="00F4060F" w:rsidRDefault="00034C57" w:rsidP="00034C57">
      <w:pPr>
        <w:pStyle w:val="Paragraphedeliste"/>
        <w:numPr>
          <w:ilvl w:val="1"/>
          <w:numId w:val="3"/>
        </w:numPr>
        <w:autoSpaceDE w:val="0"/>
        <w:autoSpaceDN w:val="0"/>
        <w:adjustRightInd w:val="0"/>
        <w:spacing w:after="0" w:line="360" w:lineRule="auto"/>
        <w:jc w:val="both"/>
        <w:rPr>
          <w:rFonts w:asciiTheme="majorBidi" w:hAnsiTheme="majorBidi" w:cs="Times New Roman"/>
          <w:b/>
          <w:bCs/>
          <w:sz w:val="28"/>
          <w:szCs w:val="28"/>
        </w:rPr>
      </w:pPr>
      <w:r w:rsidRPr="00F4060F">
        <w:rPr>
          <w:rFonts w:asciiTheme="majorBidi" w:hAnsiTheme="majorBidi" w:cs="Times New Roman"/>
          <w:b/>
          <w:bCs/>
          <w:sz w:val="28"/>
          <w:szCs w:val="28"/>
        </w:rPr>
        <w:t>Voie endogène</w:t>
      </w:r>
    </w:p>
    <w:p w:rsidR="00034C57" w:rsidRPr="00A32935" w:rsidRDefault="009B673C" w:rsidP="009B673C">
      <w:pPr>
        <w:autoSpaceDE w:val="0"/>
        <w:autoSpaceDN w:val="0"/>
        <w:adjustRightInd w:val="0"/>
        <w:spacing w:after="0" w:line="360" w:lineRule="auto"/>
        <w:ind w:firstLine="708"/>
        <w:jc w:val="both"/>
        <w:rPr>
          <w:rFonts w:asciiTheme="majorBidi" w:hAnsiTheme="majorBidi" w:cs="Times New Roman"/>
          <w:b/>
          <w:bCs/>
          <w:sz w:val="28"/>
          <w:szCs w:val="28"/>
        </w:rPr>
      </w:pPr>
      <w:r>
        <w:rPr>
          <w:rFonts w:asciiTheme="majorBidi" w:hAnsiTheme="majorBidi" w:cs="Times New Roman"/>
          <w:sz w:val="24"/>
          <w:szCs w:val="24"/>
        </w:rPr>
        <w:t xml:space="preserve">    </w:t>
      </w:r>
      <w:r w:rsidR="00034C57">
        <w:rPr>
          <w:rFonts w:asciiTheme="majorBidi" w:hAnsiTheme="majorBidi" w:cs="Times New Roman"/>
          <w:sz w:val="24"/>
          <w:szCs w:val="24"/>
        </w:rPr>
        <w:t xml:space="preserve">Initiant la deuxième voie dite endogène, les VLDL sont synthétisées et sécrétées par le foie pour transporter les lipides vers les tissus périphériques </w:t>
      </w:r>
      <w:r w:rsidR="00034C57" w:rsidRPr="00D35C94">
        <w:rPr>
          <w:rFonts w:asciiTheme="majorBidi" w:hAnsiTheme="majorBidi" w:cs="Times New Roman"/>
          <w:b/>
          <w:bCs/>
          <w:sz w:val="24"/>
          <w:szCs w:val="24"/>
        </w:rPr>
        <w:t>(</w:t>
      </w:r>
      <w:r w:rsidR="00034C57" w:rsidRPr="00D35C94">
        <w:rPr>
          <w:rFonts w:asciiTheme="majorBidi" w:hAnsiTheme="majorBidi" w:cs="Times New Roman"/>
          <w:b/>
          <w:bCs/>
          <w:i/>
          <w:iCs/>
          <w:sz w:val="24"/>
          <w:szCs w:val="24"/>
        </w:rPr>
        <w:t>Z</w:t>
      </w:r>
      <w:r w:rsidR="00034C57" w:rsidRPr="00D35C94">
        <w:rPr>
          <w:rFonts w:asciiTheme="majorBidi" w:hAnsiTheme="majorBidi" w:cs="Times New Roman"/>
          <w:b/>
          <w:bCs/>
          <w:sz w:val="24"/>
          <w:szCs w:val="24"/>
        </w:rPr>
        <w:t>iada</w:t>
      </w:r>
      <w:r w:rsidR="00034C57">
        <w:rPr>
          <w:rFonts w:asciiTheme="majorBidi" w:hAnsiTheme="majorBidi" w:cs="Times New Roman"/>
          <w:b/>
          <w:bCs/>
          <w:sz w:val="24"/>
          <w:szCs w:val="24"/>
        </w:rPr>
        <w:t>, 2006).</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r>
        <w:rPr>
          <w:rFonts w:asciiTheme="majorBidi" w:hAnsiTheme="majorBidi" w:cs="Times New Roman"/>
          <w:sz w:val="24"/>
          <w:szCs w:val="24"/>
        </w:rPr>
        <w:t xml:space="preserve">Au niveau du foie, l’ApoB100 est produite de manière continue par le ribosome </w:t>
      </w:r>
      <w:r w:rsidRPr="00944C30">
        <w:rPr>
          <w:rFonts w:asciiTheme="majorBidi" w:hAnsiTheme="majorBidi" w:cs="Times New Roman"/>
          <w:b/>
          <w:bCs/>
          <w:sz w:val="24"/>
          <w:szCs w:val="24"/>
        </w:rPr>
        <w:t>(figure I.12).</w:t>
      </w:r>
      <w:r>
        <w:rPr>
          <w:rFonts w:asciiTheme="majorBidi" w:hAnsiTheme="majorBidi" w:cs="Times New Roman"/>
          <w:sz w:val="24"/>
          <w:szCs w:val="24"/>
        </w:rPr>
        <w:t xml:space="preserve"> Cette ApoB ne va se structurer que s’il y a des triglycérides et du cholestérol estérifié en quantité suffisante.</w:t>
      </w:r>
      <w:r>
        <w:rPr>
          <w:rFonts w:asciiTheme="majorBidi" w:hAnsiTheme="majorBidi" w:cs="Times New Roman"/>
          <w:b/>
          <w:bCs/>
          <w:sz w:val="24"/>
          <w:szCs w:val="24"/>
        </w:rPr>
        <w:t xml:space="preserve"> (Bellier et Goetze, 2012).</w:t>
      </w:r>
    </w:p>
    <w:p w:rsidR="00034C57" w:rsidRDefault="00034C57" w:rsidP="00034C57">
      <w:pPr>
        <w:autoSpaceDE w:val="0"/>
        <w:autoSpaceDN w:val="0"/>
        <w:adjustRightInd w:val="0"/>
        <w:spacing w:after="0" w:line="360" w:lineRule="auto"/>
        <w:jc w:val="center"/>
        <w:rPr>
          <w:rFonts w:asciiTheme="majorBidi" w:hAnsiTheme="majorBidi" w:cs="Times New Roman"/>
          <w:sz w:val="24"/>
          <w:szCs w:val="24"/>
        </w:rPr>
      </w:pPr>
      <w:r>
        <w:rPr>
          <w:rFonts w:asciiTheme="majorBidi" w:hAnsiTheme="majorBidi" w:cs="Times New Roman"/>
          <w:noProof/>
          <w:sz w:val="24"/>
          <w:szCs w:val="24"/>
          <w:lang w:eastAsia="fr-FR"/>
        </w:rPr>
        <w:drawing>
          <wp:inline distT="0" distB="0" distL="0" distR="0">
            <wp:extent cx="5029200" cy="2257425"/>
            <wp:effectExtent l="19050" t="19050" r="0" b="9525"/>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257425"/>
                    </a:xfrm>
                    <a:prstGeom prst="rect">
                      <a:avLst/>
                    </a:prstGeom>
                    <a:noFill/>
                    <a:ln w="9525" cmpd="sng">
                      <a:solidFill>
                        <a:srgbClr val="000000"/>
                      </a:solidFill>
                      <a:miter lim="800000"/>
                      <a:headEnd/>
                      <a:tailEnd/>
                    </a:ln>
                    <a:effectLst/>
                  </pic:spPr>
                </pic:pic>
              </a:graphicData>
            </a:graphic>
          </wp:inline>
        </w:drawing>
      </w:r>
    </w:p>
    <w:p w:rsidR="00034C57" w:rsidRDefault="00034C57" w:rsidP="00034C57">
      <w:pPr>
        <w:autoSpaceDE w:val="0"/>
        <w:autoSpaceDN w:val="0"/>
        <w:adjustRightInd w:val="0"/>
        <w:spacing w:after="0" w:line="360" w:lineRule="auto"/>
        <w:jc w:val="center"/>
        <w:rPr>
          <w:rFonts w:asciiTheme="majorBidi" w:hAnsiTheme="majorBidi" w:cs="Times New Roman"/>
          <w:b/>
          <w:bCs/>
          <w:sz w:val="24"/>
          <w:szCs w:val="24"/>
        </w:rPr>
      </w:pPr>
      <w:r>
        <w:rPr>
          <w:rFonts w:asciiTheme="majorBidi" w:hAnsiTheme="majorBidi" w:cs="Times New Roman"/>
          <w:b/>
          <w:bCs/>
          <w:sz w:val="24"/>
          <w:szCs w:val="24"/>
        </w:rPr>
        <w:t>Figure I.12.</w:t>
      </w:r>
      <w:r w:rsidRPr="001F7B5C">
        <w:rPr>
          <w:rFonts w:asciiTheme="majorBidi" w:hAnsiTheme="majorBidi" w:cs="Times New Roman"/>
          <w:b/>
          <w:bCs/>
          <w:sz w:val="24"/>
          <w:szCs w:val="24"/>
        </w:rPr>
        <w:t xml:space="preserve">  </w:t>
      </w:r>
      <w:r w:rsidRPr="00452785">
        <w:rPr>
          <w:rFonts w:asciiTheme="majorBidi" w:hAnsiTheme="majorBidi" w:cs="Times New Roman"/>
          <w:sz w:val="24"/>
          <w:szCs w:val="24"/>
        </w:rPr>
        <w:t>Production des ApoB 100</w:t>
      </w:r>
      <w:r>
        <w:rPr>
          <w:rFonts w:asciiTheme="majorBidi" w:hAnsiTheme="majorBidi" w:cs="Times New Roman"/>
          <w:b/>
          <w:bCs/>
          <w:sz w:val="24"/>
          <w:szCs w:val="24"/>
        </w:rPr>
        <w:t>(Bellier et</w:t>
      </w:r>
      <w:r w:rsidR="002F4B74">
        <w:rPr>
          <w:rFonts w:asciiTheme="majorBidi" w:hAnsiTheme="majorBidi" w:cs="Times New Roman"/>
          <w:b/>
          <w:bCs/>
          <w:sz w:val="24"/>
          <w:szCs w:val="24"/>
        </w:rPr>
        <w:t xml:space="preserve"> </w:t>
      </w:r>
      <w:r w:rsidRPr="003603B3">
        <w:rPr>
          <w:rFonts w:asciiTheme="majorBidi" w:hAnsiTheme="majorBidi" w:cs="Times New Roman"/>
          <w:b/>
          <w:bCs/>
          <w:sz w:val="24"/>
          <w:szCs w:val="24"/>
        </w:rPr>
        <w:t>Goetze</w:t>
      </w:r>
      <w:r>
        <w:rPr>
          <w:rFonts w:asciiTheme="majorBidi" w:hAnsiTheme="majorBidi" w:cs="Times New Roman"/>
          <w:b/>
          <w:bCs/>
          <w:sz w:val="24"/>
          <w:szCs w:val="24"/>
        </w:rPr>
        <w:t>, 2012</w:t>
      </w:r>
      <w:r w:rsidRPr="003603B3">
        <w:rPr>
          <w:rFonts w:asciiTheme="majorBidi" w:hAnsiTheme="majorBidi" w:cs="Times New Roman"/>
          <w:b/>
          <w:bCs/>
          <w:sz w:val="24"/>
          <w:szCs w:val="24"/>
        </w:rPr>
        <w:t>)</w:t>
      </w:r>
      <w:r>
        <w:rPr>
          <w:rFonts w:asciiTheme="majorBidi" w:hAnsiTheme="majorBidi" w:cs="Times New Roman"/>
          <w:b/>
          <w:bCs/>
          <w:sz w:val="24"/>
          <w:szCs w:val="24"/>
        </w:rPr>
        <w:t>.</w:t>
      </w:r>
    </w:p>
    <w:p w:rsidR="00034C57" w:rsidRDefault="00034C57" w:rsidP="00034C57">
      <w:pPr>
        <w:autoSpaceDE w:val="0"/>
        <w:autoSpaceDN w:val="0"/>
        <w:adjustRightInd w:val="0"/>
        <w:spacing w:after="0" w:line="360" w:lineRule="auto"/>
        <w:jc w:val="center"/>
        <w:rPr>
          <w:rFonts w:asciiTheme="majorBidi" w:hAnsiTheme="majorBidi" w:cs="Times New Roman"/>
          <w:sz w:val="24"/>
          <w:szCs w:val="24"/>
        </w:rPr>
      </w:pPr>
    </w:p>
    <w:p w:rsidR="00034C57" w:rsidRDefault="00034C57" w:rsidP="00034C57">
      <w:pPr>
        <w:autoSpaceDE w:val="0"/>
        <w:autoSpaceDN w:val="0"/>
        <w:adjustRightInd w:val="0"/>
        <w:spacing w:after="0" w:line="360" w:lineRule="auto"/>
        <w:ind w:firstLine="708"/>
        <w:jc w:val="both"/>
        <w:rPr>
          <w:rFonts w:asciiTheme="majorBidi" w:hAnsiTheme="majorBidi" w:cs="Times New Roman"/>
          <w:sz w:val="24"/>
          <w:szCs w:val="24"/>
        </w:rPr>
      </w:pPr>
      <w:r>
        <w:rPr>
          <w:rFonts w:asciiTheme="majorBidi" w:hAnsiTheme="majorBidi" w:cs="Times New Roman"/>
          <w:sz w:val="24"/>
          <w:szCs w:val="24"/>
        </w:rPr>
        <w:t xml:space="preserve">Une protéine cellulaire, la MTP (Microsomal Triglyceride Transfer Protein) </w:t>
      </w:r>
      <w:r>
        <w:rPr>
          <w:rFonts w:asciiTheme="majorBidi" w:eastAsia="TTE27BB9A8t00" w:hAnsiTheme="majorBidi" w:cs="Times New Roman"/>
          <w:sz w:val="24"/>
          <w:szCs w:val="24"/>
        </w:rPr>
        <w:t>est nécessaire à ce processus (voie endogène) qui a lieu dans le réticulum endoplasmique rugueux,</w:t>
      </w:r>
      <w:r>
        <w:rPr>
          <w:rFonts w:asciiTheme="majorBidi" w:eastAsia="TTE27BB9A8t00" w:hAnsiTheme="majorBidi" w:cs="Times New Roman"/>
          <w:b/>
          <w:bCs/>
          <w:sz w:val="24"/>
          <w:szCs w:val="24"/>
        </w:rPr>
        <w:t xml:space="preserve"> (Lamant, 2006). </w:t>
      </w:r>
      <w:r w:rsidRPr="00C6334B">
        <w:rPr>
          <w:rFonts w:asciiTheme="majorBidi" w:eastAsia="TTE27BB9A8t00" w:hAnsiTheme="majorBidi" w:cs="Times New Roman"/>
          <w:sz w:val="24"/>
          <w:szCs w:val="24"/>
        </w:rPr>
        <w:t>El</w:t>
      </w:r>
      <w:r>
        <w:rPr>
          <w:rFonts w:asciiTheme="majorBidi" w:eastAsia="TTE27BB9A8t00" w:hAnsiTheme="majorBidi" w:cs="Times New Roman"/>
          <w:sz w:val="24"/>
          <w:szCs w:val="24"/>
        </w:rPr>
        <w:t>le  v</w:t>
      </w:r>
      <w:r>
        <w:rPr>
          <w:rFonts w:asciiTheme="majorBidi" w:hAnsiTheme="majorBidi" w:cs="Times New Roman"/>
          <w:sz w:val="24"/>
          <w:szCs w:val="24"/>
        </w:rPr>
        <w:t xml:space="preserve">a donc jouer un rôle essentiel dans l’assemblage et la sécrétion des VLDL. </w:t>
      </w:r>
    </w:p>
    <w:p w:rsidR="00034C57" w:rsidRPr="00DD0A92" w:rsidRDefault="00034C57" w:rsidP="00034C57">
      <w:pPr>
        <w:autoSpaceDE w:val="0"/>
        <w:autoSpaceDN w:val="0"/>
        <w:adjustRightInd w:val="0"/>
        <w:spacing w:after="0" w:line="360" w:lineRule="auto"/>
        <w:ind w:firstLine="708"/>
        <w:jc w:val="both"/>
        <w:rPr>
          <w:rFonts w:asciiTheme="majorBidi" w:hAnsiTheme="majorBidi" w:cs="Times New Roman"/>
          <w:sz w:val="24"/>
          <w:szCs w:val="24"/>
        </w:rPr>
      </w:pPr>
      <w:r>
        <w:rPr>
          <w:rFonts w:asciiTheme="majorBidi" w:hAnsiTheme="majorBidi" w:cs="Times New Roman"/>
          <w:sz w:val="24"/>
          <w:szCs w:val="24"/>
        </w:rPr>
        <w:t>La MTP transfère des lipides (préférentiellement EC et TG) sur l’apolipoprotéine B100. Cette lipidation confère à l’apoB100 une conformation appropriée lui évitant la dégradation par le protéasome et permet la poursuite de sa translocation dans le réticulum endoplasmique. Une lipoprotéine intermédiaire est ainsi formée (pLP pour primordial Lipid Particule). Celle-ci est fusionnée avec des gouttelettes</w:t>
      </w:r>
      <w:r>
        <w:rPr>
          <w:rFonts w:ascii="Times New Roman" w:hAnsi="Times New Roman" w:cs="Times New Roman"/>
          <w:sz w:val="24"/>
          <w:szCs w:val="24"/>
        </w:rPr>
        <w:t xml:space="preserve"> lipidiques dépourvues d’apoB100 et également générée par la MTP (préVLDL). Au final, la lipoprotéine mature résultante (VLDL) est sécrétée dans le milieu extracellulaire</w:t>
      </w:r>
      <w:r>
        <w:rPr>
          <w:rFonts w:asciiTheme="majorBidi" w:hAnsiTheme="majorBidi" w:cs="Times New Roman"/>
          <w:b/>
          <w:bCs/>
          <w:sz w:val="24"/>
          <w:szCs w:val="24"/>
        </w:rPr>
        <w:t xml:space="preserve"> (Piodi, 2010). </w:t>
      </w: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p>
    <w:p w:rsidR="0057792C" w:rsidRPr="009B673C" w:rsidRDefault="00034C57" w:rsidP="009B673C">
      <w:pPr>
        <w:autoSpaceDE w:val="0"/>
        <w:autoSpaceDN w:val="0"/>
        <w:adjustRightInd w:val="0"/>
        <w:spacing w:after="0" w:line="360" w:lineRule="auto"/>
        <w:rPr>
          <w:rFonts w:asciiTheme="majorBidi" w:hAnsiTheme="majorBidi" w:cs="Times New Roman"/>
          <w:b/>
          <w:bCs/>
          <w:sz w:val="24"/>
          <w:szCs w:val="24"/>
        </w:rPr>
      </w:pPr>
      <w:r>
        <w:rPr>
          <w:noProof/>
          <w:lang w:eastAsia="fr-FR"/>
        </w:rPr>
        <w:lastRenderedPageBreak/>
        <w:drawing>
          <wp:anchor distT="0" distB="0" distL="114300" distR="114300" simplePos="0" relativeHeight="251671552" behindDoc="1" locked="0" layoutInCell="1" allowOverlap="1">
            <wp:simplePos x="0" y="0"/>
            <wp:positionH relativeFrom="column">
              <wp:posOffset>15240</wp:posOffset>
            </wp:positionH>
            <wp:positionV relativeFrom="paragraph">
              <wp:posOffset>1270</wp:posOffset>
            </wp:positionV>
            <wp:extent cx="5711190" cy="3429000"/>
            <wp:effectExtent l="19050" t="19050" r="3810" b="0"/>
            <wp:wrapTight wrapText="bothSides">
              <wp:wrapPolygon edited="0">
                <wp:start x="-72" y="-120"/>
                <wp:lineTo x="-72" y="21600"/>
                <wp:lineTo x="21614" y="21600"/>
                <wp:lineTo x="21614" y="-120"/>
                <wp:lineTo x="-72" y="-120"/>
              </wp:wrapPolygon>
            </wp:wrapTight>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3429000"/>
                    </a:xfrm>
                    <a:prstGeom prst="rect">
                      <a:avLst/>
                    </a:prstGeom>
                    <a:noFill/>
                    <a:ln w="9525">
                      <a:solidFill>
                        <a:srgbClr val="000000"/>
                      </a:solidFill>
                      <a:miter lim="800000"/>
                      <a:headEnd/>
                      <a:tailEnd/>
                    </a:ln>
                  </pic:spPr>
                </pic:pic>
              </a:graphicData>
            </a:graphic>
          </wp:anchor>
        </w:drawing>
      </w:r>
    </w:p>
    <w:p w:rsidR="00034C57" w:rsidRDefault="00034C57" w:rsidP="00034C5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I.13.  </w:t>
      </w:r>
      <w:r>
        <w:rPr>
          <w:rFonts w:ascii="Times New Roman" w:hAnsi="Times New Roman" w:cs="Times New Roman"/>
          <w:sz w:val="24"/>
          <w:szCs w:val="24"/>
        </w:rPr>
        <w:t xml:space="preserve">Modèle d'assemblage des VLDL </w:t>
      </w:r>
      <w:r>
        <w:rPr>
          <w:rFonts w:ascii="Times New Roman" w:hAnsi="Times New Roman" w:cs="Times New Roman"/>
          <w:b/>
          <w:bCs/>
          <w:sz w:val="24"/>
          <w:szCs w:val="24"/>
        </w:rPr>
        <w:t>(Faber, 2010).</w:t>
      </w:r>
    </w:p>
    <w:p w:rsidR="00034C57" w:rsidRDefault="00034C57" w:rsidP="00034C57">
      <w:pPr>
        <w:autoSpaceDE w:val="0"/>
        <w:autoSpaceDN w:val="0"/>
        <w:adjustRightInd w:val="0"/>
        <w:spacing w:after="0" w:line="240" w:lineRule="auto"/>
        <w:jc w:val="center"/>
        <w:rPr>
          <w:rFonts w:ascii="Times New Roman" w:hAnsi="Times New Roman" w:cs="Times New Roman"/>
          <w:sz w:val="24"/>
          <w:szCs w:val="24"/>
        </w:rPr>
      </w:pPr>
    </w:p>
    <w:p w:rsidR="00034C57" w:rsidRDefault="00034C57" w:rsidP="00034C57">
      <w:pPr>
        <w:autoSpaceDE w:val="0"/>
        <w:autoSpaceDN w:val="0"/>
        <w:adjustRightInd w:val="0"/>
        <w:spacing w:after="0" w:line="360" w:lineRule="auto"/>
        <w:jc w:val="both"/>
        <w:rPr>
          <w:rFonts w:asciiTheme="majorBidi" w:hAnsiTheme="majorBidi" w:cs="Times New Roman"/>
          <w:b/>
          <w:bCs/>
          <w:sz w:val="24"/>
          <w:szCs w:val="24"/>
        </w:rPr>
      </w:pPr>
      <w:r>
        <w:rPr>
          <w:rFonts w:asciiTheme="majorBidi" w:hAnsiTheme="majorBidi" w:cs="Times New Roman"/>
          <w:sz w:val="24"/>
          <w:szCs w:val="24"/>
        </w:rPr>
        <w:t xml:space="preserve">          </w:t>
      </w:r>
      <w:r w:rsidR="009B673C">
        <w:rPr>
          <w:rFonts w:asciiTheme="majorBidi" w:hAnsiTheme="majorBidi" w:cs="Times New Roman"/>
          <w:sz w:val="24"/>
          <w:szCs w:val="24"/>
        </w:rPr>
        <w:t xml:space="preserve"> </w:t>
      </w:r>
      <w:r>
        <w:rPr>
          <w:rFonts w:asciiTheme="majorBidi" w:hAnsiTheme="majorBidi" w:cs="Times New Roman"/>
          <w:sz w:val="24"/>
          <w:szCs w:val="24"/>
        </w:rPr>
        <w:t>Dans le cas contraire, l’ApoB100 synthétisée sera dégradée par le protéasome. En circulant, le VLDL va subir la même chose que le chylomicrons, à savoir la digestion des triglycérides par la LPL. Le VLDL digéré va alors donner du IDL qui sera recyclé au foie (via LRP) ou bien qui continuera à être digéré par la lipase hépatique jusqu’à donner un produit terminal : le LDL.</w:t>
      </w:r>
    </w:p>
    <w:p w:rsidR="00034C57" w:rsidRPr="00A732AD" w:rsidRDefault="009B673C" w:rsidP="00034C57">
      <w:pPr>
        <w:autoSpaceDE w:val="0"/>
        <w:autoSpaceDN w:val="0"/>
        <w:adjustRightInd w:val="0"/>
        <w:spacing w:after="0" w:line="360" w:lineRule="auto"/>
        <w:jc w:val="both"/>
        <w:rPr>
          <w:rFonts w:asciiTheme="majorBidi" w:hAnsiTheme="majorBidi" w:cs="Times New Roman"/>
          <w:b/>
          <w:bCs/>
          <w:sz w:val="24"/>
          <w:szCs w:val="24"/>
        </w:rPr>
      </w:pPr>
      <w:r>
        <w:rPr>
          <w:rFonts w:asciiTheme="majorBidi" w:hAnsiTheme="majorBidi" w:cs="Times New Roman"/>
          <w:sz w:val="24"/>
          <w:szCs w:val="24"/>
        </w:rPr>
        <w:t xml:space="preserve">           </w:t>
      </w:r>
      <w:r w:rsidR="00034C57">
        <w:rPr>
          <w:rFonts w:asciiTheme="majorBidi" w:hAnsiTheme="majorBidi" w:cs="Times New Roman"/>
          <w:sz w:val="24"/>
          <w:szCs w:val="24"/>
        </w:rPr>
        <w:t>Ce LDL va avoir pour rôle de distribuer son contenu (cholestérol élevée) aux cellules périphériques. Lorsque ce travail est terminé, le LDL est recyclé au foie, par le biais du LRP. De même manière que le chylomicrons dans la voie exogène, le VLDL qui commence à se vider va donner des petits bouts de membrane formant des HDL naissantes. Dans un contexte pathologique où il y a beaucoup de cholestérol dans les cellules périphériques, le LDL-R va être beaucoup moins exposé. Du coup, le LDL va davantage circuler et se transformer en LDL modifié dépourvues d'apoE et d'apoC</w:t>
      </w:r>
      <w:r>
        <w:rPr>
          <w:rFonts w:asciiTheme="majorBidi" w:hAnsiTheme="majorBidi" w:cs="Times New Roman"/>
          <w:sz w:val="24"/>
          <w:szCs w:val="24"/>
        </w:rPr>
        <w:t xml:space="preserve"> </w:t>
      </w:r>
      <w:r w:rsidR="00034C57">
        <w:rPr>
          <w:rFonts w:asciiTheme="majorBidi" w:hAnsiTheme="majorBidi" w:cs="Times New Roman"/>
          <w:b/>
          <w:bCs/>
          <w:sz w:val="24"/>
          <w:szCs w:val="24"/>
        </w:rPr>
        <w:t>(Jammart, 2012),</w:t>
      </w:r>
      <w:r w:rsidR="00034C57">
        <w:rPr>
          <w:rFonts w:asciiTheme="majorBidi" w:hAnsiTheme="majorBidi" w:cs="Times New Roman"/>
          <w:sz w:val="24"/>
          <w:szCs w:val="24"/>
        </w:rPr>
        <w:t xml:space="preserve"> qui sera reconnu par les récepteurs éboueurs. Les macrophages vont donc se remplir de cholestérol et se déposer sur la paroi des artères, entrainant l’athérosclérose. Cela explique qu’on qualifie le LDL de « mauvais cholestérol » </w:t>
      </w:r>
      <w:r w:rsidR="00034C57" w:rsidRPr="005F5C3A">
        <w:rPr>
          <w:rFonts w:asciiTheme="majorBidi" w:hAnsiTheme="majorBidi" w:cs="Times New Roman"/>
          <w:b/>
          <w:bCs/>
          <w:sz w:val="24"/>
          <w:szCs w:val="24"/>
        </w:rPr>
        <w:t>(figure I.14)</w:t>
      </w:r>
      <w:r>
        <w:rPr>
          <w:rFonts w:asciiTheme="majorBidi" w:hAnsiTheme="majorBidi" w:cs="Times New Roman"/>
          <w:b/>
          <w:bCs/>
          <w:sz w:val="24"/>
          <w:szCs w:val="24"/>
        </w:rPr>
        <w:t xml:space="preserve"> </w:t>
      </w:r>
      <w:r w:rsidR="00034C57">
        <w:rPr>
          <w:rFonts w:asciiTheme="majorBidi" w:hAnsiTheme="majorBidi" w:cs="Times New Roman"/>
          <w:b/>
          <w:bCs/>
          <w:sz w:val="24"/>
          <w:szCs w:val="24"/>
        </w:rPr>
        <w:t>(Bellier et Goetze, 2012).</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r>
        <w:rPr>
          <w:noProof/>
          <w:lang w:eastAsia="fr-FR"/>
        </w:rPr>
        <w:lastRenderedPageBreak/>
        <w:drawing>
          <wp:anchor distT="0" distB="0" distL="114300" distR="114300" simplePos="0" relativeHeight="251668480" behindDoc="1" locked="0" layoutInCell="1" allowOverlap="1">
            <wp:simplePos x="0" y="0"/>
            <wp:positionH relativeFrom="column">
              <wp:posOffset>-62230</wp:posOffset>
            </wp:positionH>
            <wp:positionV relativeFrom="paragraph">
              <wp:posOffset>3810</wp:posOffset>
            </wp:positionV>
            <wp:extent cx="5800725" cy="4819650"/>
            <wp:effectExtent l="19050" t="19050" r="9525" b="0"/>
            <wp:wrapTight wrapText="bothSides">
              <wp:wrapPolygon edited="0">
                <wp:start x="-71" y="-85"/>
                <wp:lineTo x="-71" y="21600"/>
                <wp:lineTo x="21635" y="21600"/>
                <wp:lineTo x="21635" y="-85"/>
                <wp:lineTo x="-71" y="-85"/>
              </wp:wrapPolygon>
            </wp:wrapTight>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4">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0725" cy="4819650"/>
                    </a:xfrm>
                    <a:prstGeom prst="rect">
                      <a:avLst/>
                    </a:prstGeom>
                    <a:noFill/>
                    <a:ln w="9525">
                      <a:solidFill>
                        <a:srgbClr val="000000"/>
                      </a:solidFill>
                      <a:miter lim="800000"/>
                      <a:headEnd/>
                      <a:tailEnd/>
                    </a:ln>
                  </pic:spPr>
                </pic:pic>
              </a:graphicData>
            </a:graphic>
          </wp:anchor>
        </w:drawing>
      </w:r>
    </w:p>
    <w:p w:rsidR="00034C57" w:rsidRDefault="00034C57" w:rsidP="00034C57">
      <w:pPr>
        <w:autoSpaceDE w:val="0"/>
        <w:autoSpaceDN w:val="0"/>
        <w:adjustRightInd w:val="0"/>
        <w:spacing w:after="0" w:line="240" w:lineRule="auto"/>
        <w:jc w:val="center"/>
        <w:rPr>
          <w:rFonts w:asciiTheme="majorBidi" w:hAnsiTheme="majorBidi" w:cs="Times New Roman"/>
          <w:sz w:val="24"/>
          <w:szCs w:val="24"/>
        </w:rPr>
      </w:pPr>
      <w:r>
        <w:rPr>
          <w:rFonts w:asciiTheme="majorBidi" w:hAnsiTheme="majorBidi" w:cs="Times New Roman"/>
          <w:b/>
          <w:bCs/>
        </w:rPr>
        <w:t xml:space="preserve">Figure I.14. </w:t>
      </w:r>
      <w:r>
        <w:rPr>
          <w:rFonts w:asciiTheme="majorBidi" w:hAnsiTheme="majorBidi" w:cs="Times New Roman"/>
          <w:sz w:val="24"/>
          <w:szCs w:val="24"/>
        </w:rPr>
        <w:t xml:space="preserve">Voie des lipides endogènes </w:t>
      </w:r>
      <w:r>
        <w:rPr>
          <w:rFonts w:asciiTheme="majorBidi" w:hAnsiTheme="majorBidi" w:cs="Times New Roman"/>
          <w:b/>
          <w:bCs/>
          <w:sz w:val="24"/>
          <w:szCs w:val="24"/>
        </w:rPr>
        <w:t>(Bellier et Goetze, 2012).</w:t>
      </w:r>
    </w:p>
    <w:p w:rsidR="00034C57" w:rsidRDefault="00034C57" w:rsidP="00034C57">
      <w:pPr>
        <w:autoSpaceDE w:val="0"/>
        <w:autoSpaceDN w:val="0"/>
        <w:adjustRightInd w:val="0"/>
        <w:spacing w:after="0" w:line="240" w:lineRule="auto"/>
        <w:jc w:val="center"/>
        <w:rPr>
          <w:rFonts w:asciiTheme="majorBidi" w:hAnsiTheme="majorBidi" w:cs="Times New Roman"/>
          <w:sz w:val="24"/>
          <w:szCs w:val="24"/>
        </w:rPr>
      </w:pPr>
    </w:p>
    <w:p w:rsidR="00034C57" w:rsidRPr="00FC1BFF" w:rsidRDefault="00034C57" w:rsidP="00034C57">
      <w:pPr>
        <w:pStyle w:val="Paragraphedeliste"/>
        <w:numPr>
          <w:ilvl w:val="1"/>
          <w:numId w:val="3"/>
        </w:numPr>
        <w:autoSpaceDE w:val="0"/>
        <w:autoSpaceDN w:val="0"/>
        <w:adjustRightInd w:val="0"/>
        <w:spacing w:after="0" w:line="360" w:lineRule="auto"/>
        <w:jc w:val="both"/>
        <w:rPr>
          <w:rFonts w:asciiTheme="majorBidi" w:hAnsiTheme="majorBidi" w:cs="Times New Roman"/>
          <w:b/>
          <w:bCs/>
          <w:sz w:val="28"/>
          <w:szCs w:val="28"/>
        </w:rPr>
      </w:pPr>
      <w:r w:rsidRPr="00FC1BFF">
        <w:rPr>
          <w:rFonts w:asciiTheme="majorBidi" w:hAnsiTheme="majorBidi" w:cs="Times New Roman"/>
          <w:b/>
          <w:bCs/>
          <w:sz w:val="28"/>
          <w:szCs w:val="28"/>
        </w:rPr>
        <w:t xml:space="preserve">Voie inverse </w:t>
      </w:r>
    </w:p>
    <w:p w:rsidR="00034C57" w:rsidRDefault="009B673C" w:rsidP="009B673C">
      <w:pPr>
        <w:autoSpaceDE w:val="0"/>
        <w:autoSpaceDN w:val="0"/>
        <w:adjustRightInd w:val="0"/>
        <w:spacing w:after="0" w:line="360" w:lineRule="auto"/>
        <w:ind w:firstLine="708"/>
        <w:jc w:val="both"/>
        <w:rPr>
          <w:rFonts w:asciiTheme="majorBidi" w:hAnsiTheme="majorBidi" w:cs="Times New Roman"/>
          <w:b/>
          <w:bCs/>
          <w:sz w:val="28"/>
          <w:szCs w:val="28"/>
        </w:rPr>
      </w:pPr>
      <w:r>
        <w:rPr>
          <w:rFonts w:ascii="Times New Roman" w:hAnsi="Times New Roman" w:cs="Times New Roman"/>
          <w:sz w:val="24"/>
          <w:szCs w:val="24"/>
        </w:rPr>
        <w:t xml:space="preserve">     </w:t>
      </w:r>
      <w:r w:rsidR="00034C57" w:rsidRPr="00A732AD">
        <w:rPr>
          <w:rFonts w:ascii="Times New Roman" w:hAnsi="Times New Roman" w:cs="Times New Roman"/>
          <w:sz w:val="24"/>
          <w:szCs w:val="24"/>
        </w:rPr>
        <w:t>Le cholestérol excédentaire de l'organisme doit être ramené au foie, seul organe capable de l</w:t>
      </w:r>
      <w:r w:rsidR="00034C57" w:rsidRPr="00A732AD">
        <w:rPr>
          <w:rFonts w:ascii="TimesNewRoman" w:eastAsia="TimesNewRoman" w:hAnsi="Times New Roman" w:cs="TimesNewRoman"/>
          <w:sz w:val="24"/>
          <w:szCs w:val="24"/>
        </w:rPr>
        <w:t>’</w:t>
      </w:r>
      <w:r w:rsidR="00034C57" w:rsidRPr="00A732AD">
        <w:rPr>
          <w:rFonts w:ascii="Times New Roman" w:hAnsi="Times New Roman" w:cs="Times New Roman"/>
          <w:sz w:val="24"/>
          <w:szCs w:val="24"/>
        </w:rPr>
        <w:t>éliminer dans la bile à l’aide d</w:t>
      </w:r>
      <w:r w:rsidR="00034C57">
        <w:rPr>
          <w:rFonts w:ascii="Times New Roman" w:hAnsi="Times New Roman" w:cs="Times New Roman"/>
          <w:sz w:val="24"/>
          <w:szCs w:val="24"/>
        </w:rPr>
        <w:t xml:space="preserve">es </w:t>
      </w:r>
      <w:r w:rsidR="00034C57" w:rsidRPr="00A732AD">
        <w:rPr>
          <w:rFonts w:ascii="Times New Roman" w:hAnsi="Times New Roman" w:cs="Times New Roman"/>
          <w:sz w:val="24"/>
          <w:szCs w:val="24"/>
        </w:rPr>
        <w:t xml:space="preserve">HDL qui naissent de la membrane des chylomicrons ou des VLDL </w:t>
      </w:r>
      <w:r w:rsidR="00034C57" w:rsidRPr="00D35C94">
        <w:rPr>
          <w:rFonts w:asciiTheme="majorBidi" w:hAnsiTheme="majorBidi" w:cs="Times New Roman"/>
          <w:b/>
          <w:bCs/>
          <w:sz w:val="24"/>
          <w:szCs w:val="24"/>
        </w:rPr>
        <w:t>(</w:t>
      </w:r>
      <w:r w:rsidR="00034C57" w:rsidRPr="00D35C94">
        <w:rPr>
          <w:rFonts w:asciiTheme="majorBidi" w:hAnsiTheme="majorBidi" w:cs="Times New Roman"/>
          <w:b/>
          <w:bCs/>
          <w:i/>
          <w:iCs/>
          <w:sz w:val="24"/>
          <w:szCs w:val="24"/>
        </w:rPr>
        <w:t>Z</w:t>
      </w:r>
      <w:r w:rsidR="00034C57" w:rsidRPr="00D35C94">
        <w:rPr>
          <w:rFonts w:asciiTheme="majorBidi" w:hAnsiTheme="majorBidi" w:cs="Times New Roman"/>
          <w:b/>
          <w:bCs/>
          <w:sz w:val="24"/>
          <w:szCs w:val="24"/>
        </w:rPr>
        <w:t>iada</w:t>
      </w:r>
      <w:r w:rsidR="00034C57">
        <w:rPr>
          <w:rFonts w:asciiTheme="majorBidi" w:hAnsiTheme="majorBidi" w:cs="Times New Roman"/>
          <w:b/>
          <w:bCs/>
          <w:sz w:val="24"/>
          <w:szCs w:val="24"/>
        </w:rPr>
        <w:t>, 2006).</w:t>
      </w:r>
    </w:p>
    <w:p w:rsidR="00034C57" w:rsidRPr="00A732AD" w:rsidRDefault="009B673C" w:rsidP="009B673C">
      <w:pPr>
        <w:autoSpaceDE w:val="0"/>
        <w:autoSpaceDN w:val="0"/>
        <w:adjustRightInd w:val="0"/>
        <w:spacing w:after="0" w:line="360" w:lineRule="auto"/>
        <w:ind w:firstLine="708"/>
        <w:jc w:val="both"/>
        <w:rPr>
          <w:rFonts w:asciiTheme="majorBidi" w:hAnsiTheme="majorBidi" w:cs="Times New Roman"/>
          <w:b/>
          <w:bCs/>
          <w:sz w:val="28"/>
          <w:szCs w:val="28"/>
        </w:rPr>
      </w:pPr>
      <w:r>
        <w:rPr>
          <w:rFonts w:asciiTheme="majorBidi" w:hAnsiTheme="majorBidi" w:cs="Times New Roman"/>
          <w:sz w:val="24"/>
          <w:szCs w:val="24"/>
        </w:rPr>
        <w:t xml:space="preserve">     </w:t>
      </w:r>
      <w:r w:rsidR="00034C57">
        <w:rPr>
          <w:rFonts w:asciiTheme="majorBidi" w:hAnsiTheme="majorBidi" w:cs="Times New Roman"/>
          <w:sz w:val="24"/>
          <w:szCs w:val="24"/>
        </w:rPr>
        <w:t>Ces HDL naissants vont au fur et à mesure, grâce à la PLTP (enzyme de transfert de phospholipides), s’enrichir de phospholipides au contact d’autres lipoprotéines,</w:t>
      </w:r>
      <w:r w:rsidR="00034C57">
        <w:rPr>
          <w:rFonts w:ascii="Times New Roman" w:hAnsi="Times New Roman" w:cs="Times New Roman"/>
          <w:sz w:val="24"/>
          <w:szCs w:val="24"/>
        </w:rPr>
        <w:t xml:space="preserve"> générées des HDL matures </w:t>
      </w:r>
      <w:r w:rsidR="00034C57">
        <w:rPr>
          <w:rFonts w:ascii="Times New Roman" w:hAnsi="Times New Roman" w:cs="Times New Roman"/>
          <w:b/>
          <w:bCs/>
          <w:sz w:val="24"/>
          <w:szCs w:val="24"/>
        </w:rPr>
        <w:t>(Faber, 2010).</w:t>
      </w:r>
      <w:r w:rsidR="00034C57">
        <w:rPr>
          <w:rFonts w:asciiTheme="majorBidi" w:hAnsiTheme="majorBidi" w:cs="Times New Roman"/>
          <w:sz w:val="24"/>
          <w:szCs w:val="24"/>
        </w:rPr>
        <w:t xml:space="preserve"> Une interaction entre les HDL et les récepteurs à la surface des cellules périphériques (ABCA1) va permettre aux HDL d’extraire le cholestérol en excès des cellules. Celui ci va se retrouver à la surface de l’HDL puis, sous l’action de la LCAT, va rentrer à l’intérieur du « sac ». Au fur et à mesure que le HDL se remplit, on va former l’HDL3, puis l’HDL2 qui est la forme la plus riche en cholestérol de l’HDL. Ce dernier va ensuite permettre la redistribution du cholestérol, grâce à SR-BI, à des cellules qui en ont besoin. Enfin, la Cholestérol Ester Transfer Protein (CETP) va permettre des échanges avec les remnants de chylomicron et les IDL qui vont donner des triglycérides à l’HDL2, celui-ci leur donnant en </w:t>
      </w:r>
      <w:r w:rsidR="00034C57">
        <w:rPr>
          <w:rFonts w:asciiTheme="majorBidi" w:hAnsiTheme="majorBidi" w:cs="Times New Roman"/>
          <w:sz w:val="24"/>
          <w:szCs w:val="24"/>
        </w:rPr>
        <w:lastRenderedPageBreak/>
        <w:t xml:space="preserve">contre partie son cholestérol. </w:t>
      </w:r>
      <w:r w:rsidR="00034C57">
        <w:rPr>
          <w:rFonts w:asciiTheme="majorBidi" w:hAnsiTheme="majorBidi" w:cs="Times New Roman"/>
          <w:sz w:val="24"/>
          <w:szCs w:val="24"/>
          <w:shd w:val="clear" w:color="auto" w:fill="FFFFFF"/>
        </w:rPr>
        <w:t>Toute à l'heure</w:t>
      </w:r>
      <w:r w:rsidR="00034C57">
        <w:rPr>
          <w:rFonts w:asciiTheme="majorBidi" w:hAnsiTheme="majorBidi" w:cs="Times New Roman"/>
          <w:sz w:val="24"/>
          <w:szCs w:val="24"/>
        </w:rPr>
        <w:t xml:space="preserve">, les remnants  revenir au foie et lui ramener indirectement le cholestérol estérifié aussi les HDL2 et, grâce à l’action de la lipase hépatique (qui va les « libérer » des triglycérides accumulés), redonner des HDL3 qui vont alors recapter le cholestérol en excès et refaire la même boucle, Le recyclage définitif de HDL se fait au niveau du foie, via le récepteur </w:t>
      </w:r>
      <w:r w:rsidR="00034C57">
        <w:rPr>
          <w:rFonts w:asciiTheme="majorBidi" w:hAnsiTheme="majorBidi" w:cs="Times New Roman"/>
          <w:b/>
          <w:bCs/>
          <w:sz w:val="24"/>
          <w:szCs w:val="24"/>
        </w:rPr>
        <w:t>SR-BI (figure I.15) (Bellier et Goetze, 2012).</w:t>
      </w:r>
    </w:p>
    <w:p w:rsidR="00034C57" w:rsidRDefault="00034C57" w:rsidP="00034C57">
      <w:pPr>
        <w:autoSpaceDE w:val="0"/>
        <w:autoSpaceDN w:val="0"/>
        <w:adjustRightInd w:val="0"/>
        <w:spacing w:after="0" w:line="360" w:lineRule="auto"/>
        <w:jc w:val="center"/>
        <w:rPr>
          <w:rFonts w:asciiTheme="majorBidi" w:hAnsiTheme="majorBidi" w:cs="Times New Roman"/>
          <w:sz w:val="24"/>
          <w:szCs w:val="24"/>
        </w:rPr>
      </w:pPr>
      <w:r>
        <w:rPr>
          <w:noProof/>
          <w:lang w:eastAsia="fr-FR"/>
        </w:rPr>
        <w:drawing>
          <wp:anchor distT="0" distB="0" distL="114300" distR="114300" simplePos="0" relativeHeight="251669504" behindDoc="1" locked="0" layoutInCell="1" allowOverlap="1">
            <wp:simplePos x="0" y="0"/>
            <wp:positionH relativeFrom="column">
              <wp:posOffset>-81280</wp:posOffset>
            </wp:positionH>
            <wp:positionV relativeFrom="paragraph">
              <wp:posOffset>184785</wp:posOffset>
            </wp:positionV>
            <wp:extent cx="6000750" cy="5410200"/>
            <wp:effectExtent l="19050" t="19050" r="0" b="0"/>
            <wp:wrapTight wrapText="bothSides">
              <wp:wrapPolygon edited="0">
                <wp:start x="-69" y="-76"/>
                <wp:lineTo x="-69" y="21600"/>
                <wp:lineTo x="21600" y="21600"/>
                <wp:lineTo x="21600" y="-76"/>
                <wp:lineTo x="-69" y="-76"/>
              </wp:wrapPolygon>
            </wp:wrapTight>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5">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5410200"/>
                    </a:xfrm>
                    <a:prstGeom prst="rect">
                      <a:avLst/>
                    </a:prstGeom>
                    <a:noFill/>
                    <a:ln w="9525">
                      <a:solidFill>
                        <a:srgbClr val="000000"/>
                      </a:solidFill>
                      <a:miter lim="800000"/>
                      <a:headEnd/>
                      <a:tailEnd/>
                    </a:ln>
                  </pic:spPr>
                </pic:pic>
              </a:graphicData>
            </a:graphic>
          </wp:anchor>
        </w:drawing>
      </w:r>
      <w:r>
        <w:rPr>
          <w:rFonts w:asciiTheme="majorBidi" w:hAnsiTheme="majorBidi" w:cs="Times New Roman"/>
          <w:b/>
          <w:bCs/>
          <w:sz w:val="24"/>
          <w:szCs w:val="24"/>
        </w:rPr>
        <w:t xml:space="preserve">Figure I.15.  </w:t>
      </w:r>
      <w:r>
        <w:rPr>
          <w:rFonts w:asciiTheme="majorBidi" w:hAnsiTheme="majorBidi" w:cs="Times New Roman"/>
          <w:sz w:val="24"/>
          <w:szCs w:val="24"/>
        </w:rPr>
        <w:t xml:space="preserve">Voie des lipides inverse (retour de cholestérol) </w:t>
      </w:r>
      <w:r>
        <w:rPr>
          <w:rFonts w:asciiTheme="majorBidi" w:hAnsiTheme="majorBidi" w:cs="Times New Roman"/>
          <w:b/>
          <w:bCs/>
          <w:sz w:val="24"/>
          <w:szCs w:val="24"/>
        </w:rPr>
        <w:t>(Bellier et Goetze, 2012).</w:t>
      </w:r>
    </w:p>
    <w:p w:rsidR="00034C57" w:rsidRDefault="00034C57" w:rsidP="00034C57">
      <w:pPr>
        <w:autoSpaceDE w:val="0"/>
        <w:autoSpaceDN w:val="0"/>
        <w:adjustRightInd w:val="0"/>
        <w:spacing w:after="0" w:line="360" w:lineRule="auto"/>
        <w:rPr>
          <w:rFonts w:asciiTheme="majorBidi" w:hAnsiTheme="majorBidi" w:cs="Times New Roman"/>
          <w:sz w:val="24"/>
          <w:szCs w:val="24"/>
        </w:rPr>
      </w:pPr>
    </w:p>
    <w:p w:rsidR="00034C57" w:rsidRDefault="00034C57" w:rsidP="00034C57">
      <w:pPr>
        <w:pStyle w:val="Paragraphedeliste"/>
        <w:numPr>
          <w:ilvl w:val="0"/>
          <w:numId w:val="3"/>
        </w:numPr>
        <w:autoSpaceDE w:val="0"/>
        <w:autoSpaceDN w:val="0"/>
        <w:adjustRightInd w:val="0"/>
        <w:spacing w:after="0" w:line="360" w:lineRule="auto"/>
        <w:jc w:val="both"/>
        <w:rPr>
          <w:rFonts w:ascii="Times New Roman" w:hAnsi="Times New Roman" w:cs="Times New Roman"/>
          <w:b/>
          <w:bCs/>
          <w:sz w:val="24"/>
          <w:szCs w:val="24"/>
        </w:rPr>
      </w:pPr>
      <w:r w:rsidRPr="008F7427">
        <w:rPr>
          <w:rFonts w:ascii="Times New Roman" w:hAnsi="Times New Roman" w:cs="Times New Roman"/>
          <w:b/>
          <w:bCs/>
          <w:sz w:val="24"/>
          <w:szCs w:val="24"/>
        </w:rPr>
        <w:t>Stockage intra hépatique des lipides</w:t>
      </w:r>
    </w:p>
    <w:p w:rsidR="00034C57" w:rsidRPr="00A732AD" w:rsidRDefault="009B673C" w:rsidP="009B673C">
      <w:pPr>
        <w:autoSpaceDE w:val="0"/>
        <w:autoSpaceDN w:val="0"/>
        <w:adjustRightInd w:val="0"/>
        <w:spacing w:after="0" w:line="360" w:lineRule="auto"/>
        <w:ind w:firstLine="360"/>
        <w:jc w:val="both"/>
        <w:rPr>
          <w:rFonts w:ascii="Times New Roman" w:hAnsi="Times New Roman" w:cs="Times New Roman"/>
          <w:b/>
          <w:bCs/>
          <w:sz w:val="24"/>
          <w:szCs w:val="24"/>
        </w:rPr>
      </w:pPr>
      <w:r>
        <w:rPr>
          <w:rFonts w:asciiTheme="majorBidi" w:hAnsiTheme="majorBidi" w:cs="Times New Roman"/>
          <w:sz w:val="24"/>
          <w:szCs w:val="24"/>
        </w:rPr>
        <w:t xml:space="preserve">      </w:t>
      </w:r>
      <w:r w:rsidR="00034C57" w:rsidRPr="00A732AD">
        <w:rPr>
          <w:rFonts w:asciiTheme="majorBidi" w:hAnsiTheme="majorBidi" w:cs="Times New Roman"/>
          <w:sz w:val="24"/>
          <w:szCs w:val="24"/>
        </w:rPr>
        <w:t xml:space="preserve"> Les principaux lipides de stockage sont des lipides neutres constitués de triglycérides et de quelques esters de cholestérol </w:t>
      </w:r>
      <w:r w:rsidR="00034C57" w:rsidRPr="00A732AD">
        <w:rPr>
          <w:rFonts w:asciiTheme="majorBidi" w:hAnsiTheme="majorBidi" w:cs="Times New Roman"/>
          <w:b/>
          <w:bCs/>
          <w:sz w:val="24"/>
          <w:szCs w:val="24"/>
        </w:rPr>
        <w:t>(Regost, 2001).</w:t>
      </w:r>
      <w:r w:rsidR="00034C57" w:rsidRPr="00A732AD">
        <w:rPr>
          <w:rFonts w:asciiTheme="majorBidi" w:hAnsiTheme="majorBidi" w:cs="Times New Roman"/>
          <w:sz w:val="24"/>
          <w:szCs w:val="24"/>
        </w:rPr>
        <w:t xml:space="preserve"> La majorité des types cellulaires sont capables de produire et stocker des lipides neutres. Le tissu adipeux dont la fonction principale est le stockage des lipides, le foie peut effectuer une grande quantité de lipides neutres. </w:t>
      </w:r>
    </w:p>
    <w:p w:rsidR="00034C57" w:rsidRDefault="00034C57" w:rsidP="00034C57">
      <w:pPr>
        <w:autoSpaceDE w:val="0"/>
        <w:autoSpaceDN w:val="0"/>
        <w:adjustRightInd w:val="0"/>
        <w:spacing w:after="0" w:line="360" w:lineRule="auto"/>
        <w:ind w:firstLine="708"/>
        <w:jc w:val="both"/>
        <w:rPr>
          <w:rFonts w:asciiTheme="majorBidi" w:hAnsiTheme="majorBidi" w:cs="Times New Roman"/>
          <w:b/>
          <w:bCs/>
          <w:sz w:val="24"/>
          <w:szCs w:val="24"/>
        </w:rPr>
      </w:pPr>
      <w:r>
        <w:rPr>
          <w:rFonts w:asciiTheme="majorBidi" w:hAnsiTheme="majorBidi" w:cs="Times New Roman"/>
          <w:sz w:val="24"/>
          <w:szCs w:val="24"/>
        </w:rPr>
        <w:t xml:space="preserve">Quel que soit le type cellulaire considéré, les lipides neutres sont stockés dans le cytoplasme au sein d’organelles spécialisées considérées comme des dépôts: les gouttelettes </w:t>
      </w:r>
      <w:r>
        <w:rPr>
          <w:rFonts w:asciiTheme="majorBidi" w:hAnsiTheme="majorBidi" w:cs="Times New Roman"/>
          <w:sz w:val="24"/>
          <w:szCs w:val="24"/>
        </w:rPr>
        <w:lastRenderedPageBreak/>
        <w:t xml:space="preserve">lipidiques </w:t>
      </w:r>
      <w:r>
        <w:rPr>
          <w:rFonts w:asciiTheme="majorBidi" w:hAnsiTheme="majorBidi" w:cs="Times New Roman"/>
          <w:b/>
          <w:bCs/>
          <w:sz w:val="24"/>
          <w:szCs w:val="24"/>
        </w:rPr>
        <w:t xml:space="preserve">(Blouin </w:t>
      </w:r>
      <w:r>
        <w:rPr>
          <w:rFonts w:asciiTheme="majorBidi" w:hAnsiTheme="majorBidi" w:cs="Times New Roman"/>
          <w:b/>
          <w:bCs/>
          <w:i/>
          <w:iCs/>
          <w:sz w:val="24"/>
          <w:szCs w:val="24"/>
        </w:rPr>
        <w:t>et al</w:t>
      </w:r>
      <w:r>
        <w:rPr>
          <w:rFonts w:asciiTheme="majorBidi" w:hAnsiTheme="majorBidi" w:cs="Times New Roman"/>
          <w:b/>
          <w:bCs/>
          <w:sz w:val="24"/>
          <w:szCs w:val="24"/>
        </w:rPr>
        <w:t>., 2005)</w:t>
      </w:r>
      <w:r>
        <w:rPr>
          <w:rFonts w:asciiTheme="majorBidi" w:hAnsiTheme="majorBidi" w:cs="Times New Roman"/>
          <w:sz w:val="24"/>
          <w:szCs w:val="24"/>
        </w:rPr>
        <w:t xml:space="preserve">. Les hépatocytes permettent non seulement le stockage de forte quantité de TG et d’EC, mais ils permettent également leur sécrétion dans la circulation sanguine sous forme de VLDL </w:t>
      </w:r>
      <w:r>
        <w:rPr>
          <w:rFonts w:asciiTheme="majorBidi" w:hAnsiTheme="majorBidi" w:cs="Times New Roman"/>
          <w:b/>
          <w:bCs/>
          <w:sz w:val="24"/>
          <w:szCs w:val="24"/>
        </w:rPr>
        <w:t>(Piodi, 2010).</w:t>
      </w:r>
    </w:p>
    <w:p w:rsidR="00034C57" w:rsidRDefault="00034C57" w:rsidP="00034C57">
      <w:pPr>
        <w:autoSpaceDE w:val="0"/>
        <w:autoSpaceDN w:val="0"/>
        <w:adjustRightInd w:val="0"/>
        <w:spacing w:after="0" w:line="360" w:lineRule="auto"/>
        <w:jc w:val="both"/>
        <w:rPr>
          <w:rFonts w:ascii="TimesNewRomanPS-Bold" w:hAnsi="TimesNewRomanPS-Bold" w:cs="TimesNewRomanPS-Bold"/>
          <w:b/>
          <w:bCs/>
          <w:sz w:val="20"/>
          <w:szCs w:val="20"/>
        </w:rPr>
      </w:pPr>
    </w:p>
    <w:p w:rsidR="00034C57" w:rsidRDefault="00034C57" w:rsidP="00034C57">
      <w:pPr>
        <w:pStyle w:val="Paragraphedeliste"/>
        <w:numPr>
          <w:ilvl w:val="0"/>
          <w:numId w:val="4"/>
        </w:numPr>
        <w:autoSpaceDE w:val="0"/>
        <w:autoSpaceDN w:val="0"/>
        <w:adjustRightInd w:val="0"/>
        <w:spacing w:after="0" w:line="360" w:lineRule="auto"/>
        <w:jc w:val="both"/>
        <w:rPr>
          <w:rFonts w:asciiTheme="majorBidi" w:hAnsiTheme="majorBidi" w:cs="Times New Roman"/>
          <w:b/>
          <w:bCs/>
          <w:sz w:val="24"/>
          <w:szCs w:val="24"/>
        </w:rPr>
      </w:pPr>
      <w:r w:rsidRPr="009B45EC">
        <w:rPr>
          <w:rFonts w:asciiTheme="majorBidi" w:hAnsiTheme="majorBidi" w:cs="Times New Roman"/>
          <w:b/>
          <w:bCs/>
          <w:sz w:val="24"/>
          <w:szCs w:val="24"/>
        </w:rPr>
        <w:t xml:space="preserve">Les gouttelettes lipidiques </w:t>
      </w:r>
    </w:p>
    <w:p w:rsidR="00034C57" w:rsidRPr="00A732AD" w:rsidRDefault="009B673C" w:rsidP="009B673C">
      <w:pPr>
        <w:autoSpaceDE w:val="0"/>
        <w:autoSpaceDN w:val="0"/>
        <w:adjustRightInd w:val="0"/>
        <w:spacing w:after="0" w:line="360" w:lineRule="auto"/>
        <w:ind w:firstLine="360"/>
        <w:jc w:val="both"/>
        <w:rPr>
          <w:rFonts w:asciiTheme="majorBidi" w:hAnsiTheme="majorBidi" w:cs="Times New Roman"/>
          <w:b/>
          <w:bCs/>
          <w:sz w:val="24"/>
          <w:szCs w:val="24"/>
        </w:rPr>
      </w:pPr>
      <w:r>
        <w:rPr>
          <w:rFonts w:asciiTheme="majorBidi" w:hAnsiTheme="majorBidi" w:cs="Times New Roman"/>
          <w:sz w:val="24"/>
          <w:szCs w:val="24"/>
        </w:rPr>
        <w:t xml:space="preserve">        </w:t>
      </w:r>
      <w:r w:rsidR="00034C57" w:rsidRPr="00A732AD">
        <w:rPr>
          <w:rFonts w:asciiTheme="majorBidi" w:hAnsiTheme="majorBidi" w:cs="Times New Roman"/>
          <w:sz w:val="24"/>
          <w:szCs w:val="24"/>
        </w:rPr>
        <w:t xml:space="preserve">Les gouttelettes lipidiques ont longtemps été supposées n’être que des structures de stockage de lipides. Cependant des études récentes suggèrent qu'elles jouent également un véritable rôle dans l'homéostasie lipidique </w:t>
      </w:r>
      <w:r w:rsidR="00034C57" w:rsidRPr="00A732AD">
        <w:rPr>
          <w:rFonts w:asciiTheme="majorBidi" w:hAnsiTheme="majorBidi" w:cs="Times New Roman"/>
          <w:b/>
          <w:bCs/>
          <w:sz w:val="24"/>
          <w:szCs w:val="24"/>
        </w:rPr>
        <w:t>(Benbria, 2010).</w:t>
      </w:r>
    </w:p>
    <w:p w:rsidR="00034C57" w:rsidRDefault="00034C57" w:rsidP="00034C57">
      <w:pPr>
        <w:autoSpaceDE w:val="0"/>
        <w:autoSpaceDN w:val="0"/>
        <w:adjustRightInd w:val="0"/>
        <w:spacing w:after="0" w:line="360" w:lineRule="auto"/>
        <w:jc w:val="both"/>
        <w:rPr>
          <w:rFonts w:asciiTheme="majorBidi" w:hAnsiTheme="majorBidi" w:cs="Times New Roman"/>
          <w:sz w:val="24"/>
          <w:szCs w:val="24"/>
        </w:rPr>
      </w:pPr>
      <w:r>
        <w:rPr>
          <w:rFonts w:asciiTheme="majorBidi" w:hAnsiTheme="majorBidi" w:cs="Times New Roman"/>
          <w:sz w:val="24"/>
          <w:szCs w:val="24"/>
        </w:rPr>
        <w:tab/>
        <w:t xml:space="preserve"> Ces gouttelettes apparaissent aujourd’hui comme des organelles très actives.  Elles ont notamment été impliquées dans la synthèse des membranes, le métabolisme du cholestérol, la régulation de la balance énergétique et assure aussi des échanges de lipides entre les membranes des différents compartiments intracellulaires </w:t>
      </w:r>
      <w:r>
        <w:rPr>
          <w:rFonts w:asciiTheme="majorBidi" w:hAnsiTheme="majorBidi" w:cs="Times New Roman"/>
          <w:b/>
          <w:bCs/>
          <w:sz w:val="24"/>
          <w:szCs w:val="24"/>
        </w:rPr>
        <w:t>(Roingeard et Hourioux, 2007).</w:t>
      </w:r>
    </w:p>
    <w:p w:rsidR="00034C57" w:rsidRDefault="009B673C" w:rsidP="00034C57">
      <w:pPr>
        <w:pStyle w:val="Default"/>
        <w:spacing w:line="360" w:lineRule="auto"/>
        <w:ind w:firstLine="708"/>
        <w:jc w:val="both"/>
        <w:rPr>
          <w:rFonts w:asciiTheme="majorBidi" w:hAnsiTheme="majorBidi"/>
          <w:b/>
          <w:bCs/>
        </w:rPr>
      </w:pPr>
      <w:r>
        <w:rPr>
          <w:rFonts w:asciiTheme="majorBidi" w:hAnsiTheme="majorBidi"/>
        </w:rPr>
        <w:t xml:space="preserve"> </w:t>
      </w:r>
      <w:r w:rsidR="00034C57">
        <w:rPr>
          <w:rFonts w:asciiTheme="majorBidi" w:hAnsiTheme="majorBidi"/>
        </w:rPr>
        <w:t xml:space="preserve">Ce sont par ailleurs des structures extrêmement mobiles et dynamiques, notamment grâce à des mouvements s’effectuant le long des microtubules du cytosquelette </w:t>
      </w:r>
      <w:r w:rsidR="00034C57">
        <w:rPr>
          <w:rFonts w:asciiTheme="majorBidi" w:hAnsiTheme="majorBidi"/>
          <w:b/>
          <w:bCs/>
        </w:rPr>
        <w:t>(Benbria, 2010).</w:t>
      </w:r>
    </w:p>
    <w:p w:rsidR="00034C57" w:rsidRDefault="00034C57" w:rsidP="00034C57">
      <w:pPr>
        <w:pStyle w:val="Default"/>
        <w:spacing w:line="360" w:lineRule="auto"/>
        <w:jc w:val="both"/>
        <w:rPr>
          <w:rFonts w:asciiTheme="majorBidi" w:hAnsiTheme="majorBidi"/>
        </w:rPr>
      </w:pPr>
      <w:r>
        <w:rPr>
          <w:rFonts w:asciiTheme="majorBidi" w:hAnsiTheme="majorBidi"/>
        </w:rPr>
        <w:tab/>
        <w:t xml:space="preserve"> Selon le modèle le plus largement admis, la GL se formerait au niveau du réticulum endoplasmique (RE) suite à une accumulation de lipides neutres entre les deux feuillets membranaires. Cette accumulation conduirait au bourgeonnement de la GL, le feuillet cytoplasmique de la membrane du RE formant la membrane de la nouvelle GL </w:t>
      </w:r>
      <w:r>
        <w:rPr>
          <w:rFonts w:asciiTheme="majorBidi" w:hAnsiTheme="majorBidi"/>
          <w:b/>
          <w:bCs/>
        </w:rPr>
        <w:t>(</w:t>
      </w:r>
      <w:r>
        <w:rPr>
          <w:b/>
          <w:bCs/>
        </w:rPr>
        <w:t>Briand,  2013).</w:t>
      </w:r>
    </w:p>
    <w:p w:rsidR="00034C57" w:rsidRDefault="00034C57" w:rsidP="00034C57">
      <w:pPr>
        <w:pStyle w:val="Default"/>
        <w:spacing w:line="360" w:lineRule="auto"/>
        <w:rPr>
          <w:rFonts w:asciiTheme="majorBidi" w:hAnsiTheme="majorBidi"/>
        </w:rPr>
      </w:pPr>
      <w:r>
        <w:rPr>
          <w:rFonts w:asciiTheme="majorBidi" w:hAnsiTheme="majorBidi"/>
        </w:rPr>
        <w:t xml:space="preserve">Ainsi les gouttelettes lipidiques sont constituées de 3 couches concentriques  </w:t>
      </w:r>
      <w:r>
        <w:rPr>
          <w:rFonts w:asciiTheme="majorBidi" w:hAnsiTheme="majorBidi"/>
          <w:b/>
          <w:bCs/>
        </w:rPr>
        <w:t>(Figure I.16)</w:t>
      </w:r>
      <w:r>
        <w:rPr>
          <w:rFonts w:asciiTheme="majorBidi" w:hAnsiTheme="majorBidi"/>
        </w:rPr>
        <w:t xml:space="preserve"> :</w:t>
      </w:r>
    </w:p>
    <w:p w:rsidR="00034C57" w:rsidRPr="00975D00" w:rsidRDefault="00034C57" w:rsidP="00034C57">
      <w:pPr>
        <w:pStyle w:val="Default"/>
        <w:numPr>
          <w:ilvl w:val="0"/>
          <w:numId w:val="6"/>
        </w:numPr>
        <w:spacing w:after="295" w:line="360" w:lineRule="auto"/>
        <w:jc w:val="both"/>
        <w:rPr>
          <w:rFonts w:asciiTheme="majorBidi" w:hAnsiTheme="majorBidi"/>
        </w:rPr>
      </w:pPr>
      <w:r>
        <w:rPr>
          <w:rFonts w:asciiTheme="majorBidi" w:hAnsiTheme="majorBidi"/>
        </w:rPr>
        <w:t>Un coeur de lipides neutres constitué de triacylglycérols (triglycérides) et</w:t>
      </w:r>
      <w:r w:rsidRPr="00975D00">
        <w:rPr>
          <w:rFonts w:asciiTheme="majorBidi" w:hAnsiTheme="majorBidi"/>
        </w:rPr>
        <w:t xml:space="preserve"> d’esters de cholestérol.</w:t>
      </w:r>
    </w:p>
    <w:p w:rsidR="00034C57" w:rsidRDefault="00034C57" w:rsidP="00034C57">
      <w:pPr>
        <w:pStyle w:val="Default"/>
        <w:numPr>
          <w:ilvl w:val="0"/>
          <w:numId w:val="6"/>
        </w:numPr>
        <w:spacing w:after="295" w:line="360" w:lineRule="auto"/>
        <w:jc w:val="both"/>
        <w:rPr>
          <w:rFonts w:asciiTheme="majorBidi" w:hAnsiTheme="majorBidi"/>
        </w:rPr>
      </w:pPr>
      <w:r>
        <w:rPr>
          <w:rFonts w:asciiTheme="majorBidi" w:hAnsiTheme="majorBidi"/>
        </w:rPr>
        <w:t xml:space="preserve">Une monocouche externe associant des phospholipides et du cholestérol libre. </w:t>
      </w:r>
    </w:p>
    <w:p w:rsidR="00034C57" w:rsidRDefault="00034C57" w:rsidP="00034C57">
      <w:pPr>
        <w:pStyle w:val="Default"/>
        <w:numPr>
          <w:ilvl w:val="0"/>
          <w:numId w:val="6"/>
        </w:numPr>
        <w:spacing w:line="360" w:lineRule="auto"/>
        <w:jc w:val="both"/>
        <w:rPr>
          <w:rFonts w:asciiTheme="majorBidi" w:hAnsiTheme="majorBidi"/>
        </w:rPr>
      </w:pPr>
      <w:r>
        <w:rPr>
          <w:rFonts w:asciiTheme="majorBidi" w:hAnsiTheme="majorBidi"/>
        </w:rPr>
        <w:t xml:space="preserve">Des protéines spécifiques associées à la monocouche phospholipidique, assurant d’une part un rôle structural dans l’architecture de la gouttelette, d’autre part un rôle fonctionnel dans différents processus liés au métabolisme lipidique </w:t>
      </w:r>
    </w:p>
    <w:p w:rsidR="00034C57" w:rsidRDefault="00034C57" w:rsidP="00034C57">
      <w:pPr>
        <w:pStyle w:val="Default"/>
        <w:spacing w:line="360" w:lineRule="auto"/>
        <w:ind w:left="780"/>
        <w:jc w:val="both"/>
        <w:rPr>
          <w:rFonts w:asciiTheme="majorBidi" w:hAnsiTheme="majorBidi"/>
        </w:rPr>
      </w:pPr>
    </w:p>
    <w:p w:rsidR="00034C57" w:rsidRPr="003F25AF" w:rsidRDefault="00034C57" w:rsidP="00034C57">
      <w:pPr>
        <w:pStyle w:val="Default"/>
        <w:spacing w:after="295" w:line="360" w:lineRule="auto"/>
        <w:ind w:firstLine="708"/>
        <w:jc w:val="both"/>
        <w:rPr>
          <w:rFonts w:asciiTheme="majorBidi" w:hAnsiTheme="majorBidi"/>
        </w:rPr>
      </w:pPr>
      <w:r>
        <w:t xml:space="preserve">Les protéines majoritairement représentées à la surface des GL des adipocytes sont regroupées sous le nom de « PAT family » en référence aux trois premières protéines identifiées ; </w:t>
      </w:r>
      <w:r w:rsidRPr="003F25AF">
        <w:rPr>
          <w:rFonts w:asciiTheme="majorBidi" w:hAnsiTheme="majorBidi"/>
        </w:rPr>
        <w:t xml:space="preserve">La Perilipine, L’ADRP (adipose differentiation-relatedprotein, aussi appelée adipophiline) et La TIP47 (tail-interactingprotein of 47kDa) </w:t>
      </w:r>
      <w:r w:rsidRPr="003F25AF">
        <w:rPr>
          <w:rFonts w:asciiTheme="majorBidi" w:hAnsiTheme="majorBidi"/>
          <w:b/>
          <w:bCs/>
        </w:rPr>
        <w:t>(Girousse, 2010).</w:t>
      </w:r>
    </w:p>
    <w:p w:rsidR="00034C57" w:rsidRDefault="00034C57" w:rsidP="00034C57">
      <w:pPr>
        <w:autoSpaceDE w:val="0"/>
        <w:autoSpaceDN w:val="0"/>
        <w:adjustRightInd w:val="0"/>
        <w:spacing w:after="0" w:line="240" w:lineRule="auto"/>
        <w:jc w:val="center"/>
        <w:rPr>
          <w:rFonts w:ascii="Times New Roman" w:hAnsi="Times New Roman" w:cs="Times New Roman"/>
          <w:b/>
          <w:bCs/>
          <w:sz w:val="24"/>
          <w:szCs w:val="24"/>
        </w:rPr>
      </w:pPr>
      <w:r>
        <w:rPr>
          <w:noProof/>
          <w:lang w:eastAsia="fr-FR"/>
        </w:rPr>
        <w:lastRenderedPageBreak/>
        <w:drawing>
          <wp:anchor distT="0" distB="0" distL="114300" distR="114300" simplePos="0" relativeHeight="251670528" behindDoc="1" locked="0" layoutInCell="1" allowOverlap="1">
            <wp:simplePos x="0" y="0"/>
            <wp:positionH relativeFrom="column">
              <wp:posOffset>-240030</wp:posOffset>
            </wp:positionH>
            <wp:positionV relativeFrom="paragraph">
              <wp:posOffset>-87630</wp:posOffset>
            </wp:positionV>
            <wp:extent cx="6096635" cy="3613150"/>
            <wp:effectExtent l="0" t="0" r="0" b="0"/>
            <wp:wrapTight wrapText="bothSides">
              <wp:wrapPolygon edited="0">
                <wp:start x="0" y="0"/>
                <wp:lineTo x="0" y="21524"/>
                <wp:lineTo x="21530" y="21524"/>
                <wp:lineTo x="21530" y="0"/>
                <wp:lineTo x="0" y="0"/>
              </wp:wrapPolygon>
            </wp:wrapTight>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635" cy="3613150"/>
                    </a:xfrm>
                    <a:prstGeom prst="rect">
                      <a:avLst/>
                    </a:prstGeom>
                    <a:noFill/>
                    <a:ln>
                      <a:noFill/>
                    </a:ln>
                  </pic:spPr>
                </pic:pic>
              </a:graphicData>
            </a:graphic>
          </wp:anchor>
        </w:drawing>
      </w:r>
      <w:r>
        <w:rPr>
          <w:rFonts w:asciiTheme="majorBidi" w:hAnsiTheme="majorBidi" w:cs="Times New Roman"/>
          <w:b/>
          <w:bCs/>
        </w:rPr>
        <w:t xml:space="preserve">                     Figure I.16. </w:t>
      </w:r>
      <w:r>
        <w:rPr>
          <w:rFonts w:asciiTheme="majorBidi" w:hAnsiTheme="majorBidi" w:cs="Times New Roman"/>
        </w:rPr>
        <w:t xml:space="preserve"> Modèle de bourgeonnement des gouttelettes lipidiques </w:t>
      </w:r>
      <w:r>
        <w:rPr>
          <w:rFonts w:ascii="Times New Roman" w:hAnsi="Times New Roman" w:cs="Times New Roman"/>
          <w:b/>
          <w:bCs/>
          <w:sz w:val="24"/>
          <w:szCs w:val="24"/>
        </w:rPr>
        <w:t>(Piodi, 2010).</w:t>
      </w:r>
    </w:p>
    <w:p w:rsidR="00034C57" w:rsidRDefault="00824C86" w:rsidP="00034C57">
      <w:pPr>
        <w:pStyle w:val="Default"/>
        <w:spacing w:line="360" w:lineRule="auto"/>
        <w:rPr>
          <w:rFonts w:asciiTheme="majorBidi" w:hAnsiTheme="majorBidi"/>
        </w:rPr>
      </w:pPr>
      <w:r w:rsidRPr="00824C86">
        <w:rPr>
          <w:noProof/>
          <w:lang w:eastAsia="fr-FR"/>
        </w:rPr>
        <w:pict>
          <v:shape id="Zone de texte 23" o:spid="_x0000_s1030" type="#_x0000_t202" style="position:absolute;margin-left:-12.35pt;margin-top:8.45pt;width:473.15pt;height:71.3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" strokecolor="white [3212]">
            <v:textbox>
              <w:txbxContent>
                <w:p w:rsidR="006205BC" w:rsidRDefault="006205BC" w:rsidP="00034C57">
                  <w:pPr>
                    <w:autoSpaceDE w:val="0"/>
                    <w:autoSpaceDN w:val="0"/>
                    <w:adjustRightInd w:val="0"/>
                    <w:spacing w:after="0" w:line="240" w:lineRule="auto"/>
                    <w:jc w:val="both"/>
                    <w:rPr>
                      <w:rFonts w:ascii="Times New Roman" w:hAnsi="Times New Roman" w:cs="Times New Roman"/>
                      <w:sz w:val="24"/>
                      <w:szCs w:val="24"/>
                    </w:rPr>
                  </w:pPr>
                  <w:r>
                    <w:rPr>
                      <w:rFonts w:cs="Arial"/>
                    </w:rPr>
                    <w:t xml:space="preserve">L’accumulation entre les deux feuillets de triglycérides et d’esters de cholestérol, au niveau de sites particuliers de la </w:t>
                  </w:r>
                  <w:r w:rsidRPr="003F25AF">
                    <w:rPr>
                      <w:rFonts w:ascii="Times New Roman" w:hAnsi="Times New Roman" w:cs="Times New Roman"/>
                    </w:rPr>
                    <w:t>membrane</w:t>
                  </w:r>
                  <w:r>
                    <w:rPr>
                      <w:rFonts w:ascii="Times New Roman" w:hAnsi="Times New Roman" w:cs="Times New Roman"/>
                      <w:sz w:val="24"/>
                      <w:szCs w:val="24"/>
                    </w:rPr>
                    <w:t xml:space="preserve"> du RE, provoque une déformation de celle-ci jusqu’à la libération d’une gouttelette entourée par le feuillet externe. Les protéines associées aux gouttelettes lipidiques (PAT) sont supposées provenir essentiellement de la membrane du RE. </w:t>
                  </w:r>
                </w:p>
                <w:p w:rsidR="006205BC" w:rsidRDefault="006205BC" w:rsidP="00034C57">
                  <w:pPr>
                    <w:spacing w:line="360" w:lineRule="auto"/>
                    <w:jc w:val="both"/>
                    <w:rPr>
                      <w:rFonts w:ascii="Times New Roman" w:hAnsi="Times New Roman" w:cs="Times New Roman"/>
                      <w:b/>
                      <w:bCs/>
                      <w:sz w:val="24"/>
                      <w:szCs w:val="24"/>
                    </w:rPr>
                  </w:pPr>
                </w:p>
                <w:p w:rsidR="006205BC" w:rsidRDefault="006205BC" w:rsidP="00034C57">
                  <w:pPr>
                    <w:jc w:val="both"/>
                  </w:pPr>
                </w:p>
              </w:txbxContent>
            </v:textbox>
          </v:shape>
        </w:pict>
      </w:r>
    </w:p>
    <w:p w:rsidR="00034C57" w:rsidRDefault="00034C57" w:rsidP="00034C57">
      <w:pPr>
        <w:autoSpaceDE w:val="0"/>
        <w:autoSpaceDN w:val="0"/>
        <w:adjustRightInd w:val="0"/>
        <w:spacing w:after="0" w:line="240" w:lineRule="auto"/>
        <w:jc w:val="center"/>
        <w:rPr>
          <w:rFonts w:ascii="Times New Roman" w:hAnsi="Times New Roman" w:cs="Times New Roman"/>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sz w:val="24"/>
          <w:szCs w:val="24"/>
        </w:rPr>
      </w:pPr>
    </w:p>
    <w:p w:rsidR="00034C57" w:rsidRDefault="00034C57" w:rsidP="00034C57">
      <w:pPr>
        <w:autoSpaceDE w:val="0"/>
        <w:autoSpaceDN w:val="0"/>
        <w:adjustRightInd w:val="0"/>
        <w:spacing w:after="0" w:line="240" w:lineRule="auto"/>
        <w:jc w:val="center"/>
        <w:rPr>
          <w:rFonts w:ascii="Times New Roman" w:hAnsi="Times New Roman" w:cs="Times New Roman"/>
          <w:sz w:val="24"/>
          <w:szCs w:val="24"/>
        </w:rPr>
      </w:pPr>
    </w:p>
    <w:p w:rsidR="00034C57" w:rsidRDefault="00034C57" w:rsidP="00034C57"/>
    <w:p w:rsidR="00034C57" w:rsidRDefault="00034C57" w:rsidP="00034C57"/>
    <w:p w:rsidR="00FA1DF3" w:rsidRDefault="00FA1DF3" w:rsidP="00034C57"/>
    <w:p w:rsidR="00FA1DF3" w:rsidRDefault="00FA1DF3" w:rsidP="00034C57"/>
    <w:p w:rsidR="00FA1DF3" w:rsidRDefault="00FA1DF3" w:rsidP="00034C57"/>
    <w:p w:rsidR="00FA1DF3" w:rsidRDefault="00FA1DF3" w:rsidP="00034C57"/>
    <w:p w:rsidR="00FA1DF3" w:rsidRDefault="00FA1DF3" w:rsidP="00034C57"/>
    <w:p w:rsidR="00FA1DF3" w:rsidRDefault="00FA1DF3" w:rsidP="00034C57"/>
    <w:p w:rsidR="00FA1DF3" w:rsidRDefault="00FA1DF3" w:rsidP="00034C57"/>
    <w:p w:rsidR="00FA1DF3" w:rsidRDefault="00FA1DF3" w:rsidP="00034C57"/>
    <w:p w:rsidR="00FA1DF3" w:rsidRDefault="00FA1DF3" w:rsidP="00034C57"/>
    <w:p w:rsidR="00FA1DF3" w:rsidRDefault="00FA1DF3" w:rsidP="00034C57"/>
    <w:p w:rsidR="00FA1DF3" w:rsidRDefault="00FA1DF3" w:rsidP="00034C57"/>
    <w:p w:rsidR="00034C57" w:rsidRDefault="00034C57" w:rsidP="00034C57"/>
    <w:p w:rsidR="00034C57" w:rsidRDefault="00034C57" w:rsidP="00034C57"/>
    <w:p w:rsidR="00FA1DF3" w:rsidRDefault="00FA1DF3" w:rsidP="00FA1DF3">
      <w:pPr>
        <w:rPr>
          <w:rFonts w:asciiTheme="majorBidi" w:hAnsiTheme="majorBidi" w:cstheme="majorBidi"/>
          <w:b/>
          <w:bCs/>
          <w:sz w:val="28"/>
          <w:szCs w:val="28"/>
        </w:rPr>
      </w:pPr>
      <w:r>
        <w:rPr>
          <w:rFonts w:asciiTheme="majorBidi" w:hAnsiTheme="majorBidi" w:cstheme="majorBidi"/>
          <w:b/>
          <w:bCs/>
          <w:sz w:val="28"/>
          <w:szCs w:val="28"/>
        </w:rPr>
        <w:lastRenderedPageBreak/>
        <w:t xml:space="preserve">III. </w:t>
      </w:r>
      <w:r w:rsidRPr="000457C1">
        <w:rPr>
          <w:rFonts w:asciiTheme="majorBidi" w:hAnsiTheme="majorBidi" w:cstheme="majorBidi"/>
          <w:b/>
          <w:bCs/>
          <w:sz w:val="28"/>
          <w:szCs w:val="28"/>
        </w:rPr>
        <w:t xml:space="preserve">Interaction entre le virus de l’hépatite C et le métabolisme des lipides </w:t>
      </w:r>
    </w:p>
    <w:p w:rsidR="00FA1DF3" w:rsidRDefault="009B673C" w:rsidP="00FA1DF3">
      <w:pPr>
        <w:autoSpaceDE w:val="0"/>
        <w:autoSpaceDN w:val="0"/>
        <w:adjustRightInd w:val="0"/>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         </w:t>
      </w:r>
      <w:r w:rsidR="00FA1DF3" w:rsidRPr="00264274">
        <w:rPr>
          <w:rFonts w:asciiTheme="majorBidi" w:hAnsiTheme="majorBidi" w:cstheme="majorBidi"/>
          <w:sz w:val="24"/>
          <w:szCs w:val="24"/>
        </w:rPr>
        <w:t>Des travaux récents ont montré que les lipoprotéines jo</w:t>
      </w:r>
      <w:r w:rsidR="00FA1DF3">
        <w:rPr>
          <w:rFonts w:asciiTheme="majorBidi" w:hAnsiTheme="majorBidi" w:cstheme="majorBidi"/>
          <w:sz w:val="24"/>
          <w:szCs w:val="24"/>
        </w:rPr>
        <w:t xml:space="preserve">uent un rôle essentiel dans les </w:t>
      </w:r>
      <w:r w:rsidR="00FA1DF3" w:rsidRPr="00264274">
        <w:rPr>
          <w:rFonts w:asciiTheme="majorBidi" w:hAnsiTheme="majorBidi" w:cstheme="majorBidi"/>
          <w:sz w:val="24"/>
          <w:szCs w:val="24"/>
        </w:rPr>
        <w:t>mécanismes d’entrée et d’infection de la cellule par le VHC</w:t>
      </w:r>
      <w:r w:rsidR="00FA1DF3">
        <w:rPr>
          <w:rFonts w:asciiTheme="majorBidi" w:hAnsiTheme="majorBidi" w:cstheme="majorBidi"/>
          <w:sz w:val="24"/>
          <w:szCs w:val="24"/>
        </w:rPr>
        <w:t xml:space="preserve">. Le VHC </w:t>
      </w:r>
      <w:r w:rsidR="00FA1DF3" w:rsidRPr="00264274">
        <w:rPr>
          <w:rFonts w:asciiTheme="majorBidi" w:hAnsiTheme="majorBidi" w:cstheme="majorBidi"/>
          <w:sz w:val="24"/>
          <w:szCs w:val="24"/>
        </w:rPr>
        <w:t xml:space="preserve">de son côté influence le métabolisme des lipides cellulaires </w:t>
      </w:r>
      <w:r w:rsidR="00FA1DF3" w:rsidRPr="00264274">
        <w:rPr>
          <w:rFonts w:asciiTheme="majorBidi" w:hAnsiTheme="majorBidi" w:cstheme="majorBidi"/>
          <w:b/>
          <w:bCs/>
          <w:sz w:val="24"/>
          <w:szCs w:val="24"/>
        </w:rPr>
        <w:t>(Walic, 2013)</w:t>
      </w:r>
      <w:r w:rsidR="00FA1DF3">
        <w:rPr>
          <w:rFonts w:asciiTheme="majorBidi" w:hAnsiTheme="majorBidi" w:cstheme="majorBidi"/>
          <w:b/>
          <w:bCs/>
          <w:sz w:val="24"/>
          <w:szCs w:val="24"/>
        </w:rPr>
        <w:t xml:space="preserve">. </w:t>
      </w:r>
      <w:r w:rsidR="00FA1DF3" w:rsidRPr="0032673D">
        <w:rPr>
          <w:rFonts w:asciiTheme="majorBidi" w:hAnsiTheme="majorBidi" w:cstheme="majorBidi"/>
          <w:sz w:val="24"/>
          <w:szCs w:val="24"/>
        </w:rPr>
        <w:t>L’</w:t>
      </w:r>
      <w:r w:rsidR="00FA1DF3" w:rsidRPr="00B350B9">
        <w:rPr>
          <w:rFonts w:asciiTheme="majorBidi" w:hAnsiTheme="majorBidi" w:cstheme="majorBidi"/>
          <w:sz w:val="24"/>
          <w:szCs w:val="24"/>
        </w:rPr>
        <w:t>association</w:t>
      </w:r>
      <w:r w:rsidR="00FA1DF3">
        <w:rPr>
          <w:rFonts w:asciiTheme="majorBidi" w:hAnsiTheme="majorBidi" w:cstheme="majorBidi"/>
          <w:sz w:val="24"/>
          <w:szCs w:val="24"/>
        </w:rPr>
        <w:t xml:space="preserve"> du VHC</w:t>
      </w:r>
      <w:r w:rsidR="00FA1DF3" w:rsidRPr="00264274">
        <w:rPr>
          <w:rFonts w:asciiTheme="majorBidi" w:hAnsiTheme="majorBidi" w:cstheme="majorBidi"/>
          <w:sz w:val="24"/>
          <w:szCs w:val="24"/>
        </w:rPr>
        <w:t xml:space="preserve"> avec les lipoprotéines de l'hôte a tout d'abord été décrite par Thomssen</w:t>
      </w:r>
      <w:r w:rsidR="00FA1DF3">
        <w:rPr>
          <w:rFonts w:asciiTheme="majorBidi" w:hAnsiTheme="majorBidi" w:cstheme="majorBidi"/>
          <w:sz w:val="24"/>
          <w:szCs w:val="24"/>
        </w:rPr>
        <w:t xml:space="preserve"> et al en </w:t>
      </w:r>
      <w:r w:rsidR="00FA1DF3" w:rsidRPr="0032673D">
        <w:rPr>
          <w:rFonts w:asciiTheme="majorBidi" w:hAnsiTheme="majorBidi" w:cstheme="majorBidi"/>
          <w:sz w:val="24"/>
          <w:szCs w:val="24"/>
        </w:rPr>
        <w:t>1992</w:t>
      </w:r>
      <w:r w:rsidR="00FA1DF3" w:rsidRPr="00264274">
        <w:rPr>
          <w:rFonts w:asciiTheme="majorBidi" w:hAnsiTheme="majorBidi" w:cstheme="majorBidi"/>
          <w:b/>
          <w:bCs/>
          <w:sz w:val="24"/>
          <w:szCs w:val="24"/>
        </w:rPr>
        <w:t>(Jammart, 2012).</w:t>
      </w:r>
      <w:r w:rsidR="00FA1DF3" w:rsidRPr="000457C1">
        <w:rPr>
          <w:rFonts w:asciiTheme="majorBidi" w:hAnsiTheme="majorBidi" w:cstheme="majorBidi"/>
          <w:sz w:val="24"/>
          <w:szCs w:val="24"/>
        </w:rPr>
        <w:t>Le sort du virus est en fait scellé à celui des lipides dans l’hé</w:t>
      </w:r>
      <w:r w:rsidR="00FA1DF3">
        <w:rPr>
          <w:rFonts w:asciiTheme="majorBidi" w:hAnsiTheme="majorBidi" w:cstheme="majorBidi"/>
          <w:sz w:val="24"/>
          <w:szCs w:val="24"/>
        </w:rPr>
        <w:t xml:space="preserve">patocyte. L’interaction du VHC avec le méabolisme lipidique peut se manifester soit au niveau de </w:t>
      </w:r>
      <w:r w:rsidR="00FA1DF3" w:rsidRPr="000457C1">
        <w:rPr>
          <w:rFonts w:asciiTheme="majorBidi" w:hAnsiTheme="majorBidi" w:cstheme="majorBidi"/>
          <w:sz w:val="24"/>
          <w:szCs w:val="24"/>
        </w:rPr>
        <w:t>entré</w:t>
      </w:r>
      <w:r w:rsidR="00FA1DF3">
        <w:rPr>
          <w:rFonts w:asciiTheme="majorBidi" w:hAnsiTheme="majorBidi" w:cstheme="majorBidi"/>
          <w:sz w:val="24"/>
          <w:szCs w:val="24"/>
        </w:rPr>
        <w:t>e cellulaire du VHC,  l</w:t>
      </w:r>
      <w:r w:rsidR="00FA1DF3" w:rsidRPr="000457C1">
        <w:rPr>
          <w:rFonts w:asciiTheme="majorBidi" w:hAnsiTheme="majorBidi" w:cstheme="majorBidi"/>
          <w:sz w:val="24"/>
          <w:szCs w:val="24"/>
        </w:rPr>
        <w:t xml:space="preserve">’assemblage des </w:t>
      </w:r>
      <w:r w:rsidR="00FA1DF3">
        <w:rPr>
          <w:rFonts w:asciiTheme="majorBidi" w:hAnsiTheme="majorBidi" w:cstheme="majorBidi"/>
          <w:sz w:val="24"/>
          <w:szCs w:val="24"/>
        </w:rPr>
        <w:t>VLDL et des gouttelettes lipidiques ou même pendant  l</w:t>
      </w:r>
      <w:r w:rsidR="00FA1DF3" w:rsidRPr="000457C1">
        <w:rPr>
          <w:rFonts w:asciiTheme="majorBidi" w:hAnsiTheme="majorBidi" w:cstheme="majorBidi"/>
          <w:sz w:val="24"/>
          <w:szCs w:val="24"/>
        </w:rPr>
        <w:t>a réplication du VHC</w:t>
      </w:r>
      <w:r w:rsidR="00FA1DF3">
        <w:rPr>
          <w:rFonts w:asciiTheme="majorBidi" w:hAnsiTheme="majorBidi" w:cstheme="majorBidi"/>
          <w:sz w:val="24"/>
          <w:szCs w:val="24"/>
        </w:rPr>
        <w:t> :</w:t>
      </w:r>
    </w:p>
    <w:p w:rsidR="00FA1DF3" w:rsidRDefault="00FA1DF3" w:rsidP="00A21FB0">
      <w:pPr>
        <w:pStyle w:val="Paragraphedeliste"/>
        <w:numPr>
          <w:ilvl w:val="0"/>
          <w:numId w:val="46"/>
        </w:numPr>
        <w:tabs>
          <w:tab w:val="left" w:pos="3840"/>
        </w:tabs>
        <w:autoSpaceDE w:val="0"/>
        <w:autoSpaceDN w:val="0"/>
        <w:adjustRightInd w:val="0"/>
        <w:spacing w:after="0" w:line="360" w:lineRule="auto"/>
        <w:jc w:val="both"/>
        <w:rPr>
          <w:rFonts w:asciiTheme="majorBidi" w:hAnsiTheme="majorBidi" w:cstheme="majorBidi"/>
          <w:sz w:val="24"/>
          <w:szCs w:val="24"/>
        </w:rPr>
      </w:pPr>
      <w:r w:rsidRPr="00DB154C">
        <w:rPr>
          <w:rFonts w:asciiTheme="majorBidi" w:hAnsiTheme="majorBidi" w:cstheme="majorBidi"/>
          <w:b/>
          <w:bCs/>
          <w:sz w:val="24"/>
          <w:szCs w:val="24"/>
        </w:rPr>
        <w:t>Entrée cellulaire du VHC</w:t>
      </w:r>
      <w:r w:rsidRPr="00DB154C">
        <w:rPr>
          <w:rFonts w:asciiTheme="majorBidi" w:hAnsiTheme="majorBidi" w:cstheme="majorBidi"/>
          <w:sz w:val="24"/>
          <w:szCs w:val="24"/>
        </w:rPr>
        <w:tab/>
      </w:r>
    </w:p>
    <w:p w:rsidR="00FA1DF3" w:rsidRDefault="009B673C" w:rsidP="00FA1DF3">
      <w:pPr>
        <w:tabs>
          <w:tab w:val="left" w:pos="3840"/>
        </w:tabs>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color w:val="231F20"/>
          <w:sz w:val="24"/>
          <w:szCs w:val="24"/>
        </w:rPr>
        <w:t xml:space="preserve">                 </w:t>
      </w:r>
      <w:r w:rsidR="00FA1DF3" w:rsidRPr="00D81605">
        <w:rPr>
          <w:rFonts w:asciiTheme="majorBidi" w:hAnsiTheme="majorBidi" w:cstheme="majorBidi"/>
          <w:color w:val="231F20"/>
          <w:sz w:val="24"/>
          <w:szCs w:val="24"/>
        </w:rPr>
        <w:t xml:space="preserve"> L’adhésion du VHC sur les cellules cibles lui permet ensuite de pénétrer dans la cellule</w:t>
      </w:r>
      <w:r w:rsidR="00FA1DF3" w:rsidRPr="00282D5A">
        <w:rPr>
          <w:rFonts w:asciiTheme="majorBidi" w:hAnsiTheme="majorBidi" w:cstheme="majorBidi"/>
          <w:b/>
          <w:bCs/>
          <w:color w:val="231F20"/>
          <w:sz w:val="24"/>
          <w:szCs w:val="24"/>
        </w:rPr>
        <w:t>(</w:t>
      </w:r>
      <w:r w:rsidR="00FA1DF3" w:rsidRPr="00282D5A">
        <w:rPr>
          <w:rFonts w:asciiTheme="majorBidi" w:hAnsiTheme="majorBidi" w:cstheme="majorBidi"/>
          <w:b/>
          <w:bCs/>
          <w:sz w:val="24"/>
          <w:szCs w:val="24"/>
        </w:rPr>
        <w:t>Germi et al., 2015)</w:t>
      </w:r>
      <w:r w:rsidR="00FA1DF3">
        <w:rPr>
          <w:rFonts w:asciiTheme="majorBidi" w:hAnsiTheme="majorBidi" w:cstheme="majorBidi"/>
          <w:b/>
          <w:bCs/>
          <w:sz w:val="24"/>
          <w:szCs w:val="24"/>
        </w:rPr>
        <w:t>.</w:t>
      </w:r>
      <w:r w:rsidR="00FA1DF3" w:rsidRPr="00D81605">
        <w:rPr>
          <w:rFonts w:asciiTheme="majorBidi" w:hAnsiTheme="majorBidi" w:cstheme="majorBidi"/>
          <w:color w:val="231F20"/>
          <w:sz w:val="24"/>
          <w:szCs w:val="24"/>
        </w:rPr>
        <w:t xml:space="preserve">Cet événement </w:t>
      </w:r>
      <w:r w:rsidR="00FA1DF3">
        <w:rPr>
          <w:rFonts w:asciiTheme="majorBidi" w:hAnsiTheme="majorBidi" w:cstheme="majorBidi"/>
          <w:color w:val="231F20"/>
          <w:sz w:val="24"/>
          <w:szCs w:val="24"/>
        </w:rPr>
        <w:t xml:space="preserve">est effectué </w:t>
      </w:r>
      <w:r w:rsidR="00FA1DF3" w:rsidRPr="00D81605">
        <w:rPr>
          <w:rFonts w:asciiTheme="majorBidi" w:hAnsiTheme="majorBidi" w:cstheme="majorBidi"/>
          <w:sz w:val="24"/>
          <w:szCs w:val="24"/>
        </w:rPr>
        <w:t>en plusieurs étapes qui vont mettre en jeu les protéines d’enveloppe virales E1 et E2 (protéines transmembranaires), ainsi qu’un certain nombre de facteurs cellulaires</w:t>
      </w:r>
      <w:r w:rsidR="00FA1DF3">
        <w:rPr>
          <w:rFonts w:asciiTheme="majorBidi" w:hAnsiTheme="majorBidi" w:cstheme="majorBidi"/>
          <w:sz w:val="24"/>
          <w:szCs w:val="24"/>
        </w:rPr>
        <w:t xml:space="preserve"> ; </w:t>
      </w:r>
      <w:r w:rsidR="00FA1DF3" w:rsidRPr="00D81605">
        <w:rPr>
          <w:rFonts w:asciiTheme="majorBidi" w:hAnsiTheme="majorBidi" w:cstheme="majorBidi"/>
          <w:sz w:val="24"/>
          <w:szCs w:val="24"/>
        </w:rPr>
        <w:t xml:space="preserve">les facteurs d’attachement, qui permettent le recrutement et la concentration des virus à la surface des cellules ; et les récepteurs qui participent à l’entrée virale proprement dite </w:t>
      </w:r>
      <w:r w:rsidR="00FA1DF3">
        <w:rPr>
          <w:rFonts w:asciiTheme="majorBidi" w:hAnsiTheme="majorBidi" w:cstheme="majorBidi"/>
          <w:b/>
          <w:bCs/>
          <w:sz w:val="24"/>
          <w:szCs w:val="24"/>
        </w:rPr>
        <w:t>(</w:t>
      </w:r>
      <w:r w:rsidR="00FA1DF3" w:rsidRPr="00D81605">
        <w:rPr>
          <w:rFonts w:asciiTheme="majorBidi" w:hAnsiTheme="majorBidi" w:cstheme="majorBidi"/>
          <w:b/>
          <w:bCs/>
          <w:sz w:val="24"/>
          <w:szCs w:val="24"/>
        </w:rPr>
        <w:t>Depla, 2011).</w:t>
      </w:r>
    </w:p>
    <w:p w:rsidR="00FA1DF3" w:rsidRDefault="00FA1DF3" w:rsidP="00FA1DF3">
      <w:pPr>
        <w:tabs>
          <w:tab w:val="left" w:pos="3840"/>
        </w:tabs>
        <w:autoSpaceDE w:val="0"/>
        <w:autoSpaceDN w:val="0"/>
        <w:adjustRightInd w:val="0"/>
        <w:spacing w:after="0" w:line="360" w:lineRule="auto"/>
        <w:jc w:val="both"/>
        <w:rPr>
          <w:rFonts w:asciiTheme="majorBidi" w:hAnsiTheme="majorBidi" w:cstheme="majorBidi"/>
          <w:sz w:val="24"/>
          <w:szCs w:val="24"/>
        </w:rPr>
      </w:pPr>
    </w:p>
    <w:p w:rsidR="00FA1DF3" w:rsidRPr="009E678D" w:rsidRDefault="00FA1DF3" w:rsidP="00A21FB0">
      <w:pPr>
        <w:pStyle w:val="Paragraphedeliste"/>
        <w:numPr>
          <w:ilvl w:val="1"/>
          <w:numId w:val="46"/>
        </w:numPr>
        <w:tabs>
          <w:tab w:val="left" w:pos="3840"/>
        </w:tabs>
        <w:autoSpaceDE w:val="0"/>
        <w:autoSpaceDN w:val="0"/>
        <w:adjustRightInd w:val="0"/>
        <w:spacing w:after="0" w:line="360" w:lineRule="auto"/>
        <w:jc w:val="both"/>
        <w:rPr>
          <w:rFonts w:asciiTheme="majorBidi" w:hAnsiTheme="majorBidi" w:cstheme="majorBidi"/>
          <w:b/>
          <w:bCs/>
          <w:sz w:val="24"/>
          <w:szCs w:val="24"/>
        </w:rPr>
      </w:pPr>
      <w:r>
        <w:rPr>
          <w:rFonts w:ascii="Times New Roman" w:hAnsi="Times New Roman" w:cs="Times New Roman"/>
          <w:b/>
          <w:bCs/>
          <w:sz w:val="24"/>
          <w:szCs w:val="24"/>
        </w:rPr>
        <w:t xml:space="preserve">  facteurs</w:t>
      </w:r>
      <w:r w:rsidRPr="00D81605">
        <w:rPr>
          <w:rFonts w:ascii="Times New Roman" w:hAnsi="Times New Roman" w:cs="Times New Roman"/>
          <w:b/>
          <w:bCs/>
          <w:sz w:val="24"/>
          <w:szCs w:val="24"/>
        </w:rPr>
        <w:t xml:space="preserve"> d’attachement</w:t>
      </w:r>
    </w:p>
    <w:p w:rsidR="00FA1DF3" w:rsidRPr="00955D50" w:rsidRDefault="00FA1DF3" w:rsidP="00A21FB0">
      <w:pPr>
        <w:pStyle w:val="Paragraphedeliste"/>
        <w:numPr>
          <w:ilvl w:val="2"/>
          <w:numId w:val="46"/>
        </w:numPr>
        <w:autoSpaceDE w:val="0"/>
        <w:autoSpaceDN w:val="0"/>
        <w:adjustRightInd w:val="0"/>
        <w:spacing w:after="0" w:line="360" w:lineRule="auto"/>
        <w:jc w:val="both"/>
        <w:rPr>
          <w:rFonts w:asciiTheme="majorBidi" w:hAnsiTheme="majorBidi" w:cstheme="majorBidi"/>
          <w:sz w:val="24"/>
          <w:szCs w:val="24"/>
        </w:rPr>
      </w:pPr>
      <w:r w:rsidRPr="00955D50">
        <w:rPr>
          <w:rFonts w:asciiTheme="majorBidi" w:hAnsiTheme="majorBidi" w:cstheme="majorBidi"/>
          <w:b/>
          <w:bCs/>
          <w:sz w:val="24"/>
          <w:szCs w:val="24"/>
        </w:rPr>
        <w:t>Les glycosaminoglycanes</w:t>
      </w:r>
    </w:p>
    <w:p w:rsidR="00FA1DF3" w:rsidRPr="00031EC9" w:rsidRDefault="009B673C" w:rsidP="009B673C">
      <w:pPr>
        <w:autoSpaceDE w:val="0"/>
        <w:autoSpaceDN w:val="0"/>
        <w:adjustRightInd w:val="0"/>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          </w:t>
      </w:r>
      <w:r w:rsidR="00FA1DF3" w:rsidRPr="00000FF1">
        <w:rPr>
          <w:rFonts w:asciiTheme="majorBidi" w:hAnsiTheme="majorBidi" w:cstheme="majorBidi"/>
          <w:sz w:val="24"/>
          <w:szCs w:val="24"/>
        </w:rPr>
        <w:t>Les glycosaminoglycanes (GAG)</w:t>
      </w:r>
      <w:r w:rsidR="00FA1DF3">
        <w:rPr>
          <w:rFonts w:asciiTheme="majorBidi" w:hAnsiTheme="majorBidi" w:cstheme="majorBidi"/>
          <w:sz w:val="24"/>
          <w:szCs w:val="24"/>
        </w:rPr>
        <w:t xml:space="preserve"> représentent le premier site d’ancrage pour des nombreux virus infectant les cellules eucaryotes </w:t>
      </w:r>
      <w:r w:rsidR="00FA1DF3" w:rsidRPr="00450CFB">
        <w:rPr>
          <w:rFonts w:asciiTheme="majorBidi" w:hAnsiTheme="majorBidi" w:cstheme="majorBidi"/>
          <w:b/>
          <w:bCs/>
          <w:sz w:val="24"/>
          <w:szCs w:val="24"/>
        </w:rPr>
        <w:t>(</w:t>
      </w:r>
      <w:r w:rsidR="00FA1DF3" w:rsidRPr="00345C79">
        <w:rPr>
          <w:rFonts w:asciiTheme="majorBidi" w:hAnsiTheme="majorBidi" w:cstheme="majorBidi"/>
          <w:b/>
          <w:bCs/>
          <w:sz w:val="24"/>
          <w:szCs w:val="24"/>
        </w:rPr>
        <w:t>Moenne-Loccoz</w:t>
      </w:r>
      <w:r w:rsidR="00FA1DF3" w:rsidRPr="00450CFB">
        <w:rPr>
          <w:rFonts w:asciiTheme="majorBidi" w:hAnsiTheme="majorBidi" w:cstheme="majorBidi"/>
          <w:b/>
          <w:bCs/>
          <w:sz w:val="24"/>
          <w:szCs w:val="24"/>
        </w:rPr>
        <w:t>,</w:t>
      </w:r>
      <w:r w:rsidR="002F4B74">
        <w:rPr>
          <w:rFonts w:asciiTheme="majorBidi" w:hAnsiTheme="majorBidi" w:cstheme="majorBidi"/>
          <w:b/>
          <w:bCs/>
          <w:sz w:val="24"/>
          <w:szCs w:val="24"/>
        </w:rPr>
        <w:t xml:space="preserve"> </w:t>
      </w:r>
      <w:r w:rsidR="00FA1DF3" w:rsidRPr="00450CFB">
        <w:rPr>
          <w:rFonts w:asciiTheme="majorBidi" w:hAnsiTheme="majorBidi" w:cstheme="majorBidi"/>
          <w:b/>
          <w:bCs/>
          <w:sz w:val="24"/>
          <w:szCs w:val="24"/>
        </w:rPr>
        <w:t>2011)</w:t>
      </w:r>
      <w:r w:rsidR="00FA1DF3">
        <w:rPr>
          <w:rFonts w:asciiTheme="majorBidi" w:hAnsiTheme="majorBidi" w:cstheme="majorBidi"/>
          <w:sz w:val="24"/>
          <w:szCs w:val="24"/>
        </w:rPr>
        <w:t>,</w:t>
      </w:r>
      <w:r w:rsidR="00FA1DF3" w:rsidRPr="00000FF1">
        <w:rPr>
          <w:rFonts w:asciiTheme="majorBidi" w:hAnsiTheme="majorBidi" w:cstheme="majorBidi"/>
          <w:sz w:val="24"/>
          <w:szCs w:val="24"/>
        </w:rPr>
        <w:t xml:space="preserve"> incluant les Flaviviridae</w:t>
      </w:r>
      <w:r w:rsidR="00FA1DF3">
        <w:rPr>
          <w:rFonts w:asciiTheme="majorBidi" w:hAnsiTheme="majorBidi" w:cstheme="majorBidi"/>
          <w:sz w:val="24"/>
          <w:szCs w:val="24"/>
        </w:rPr>
        <w:t>. Il existe diffé</w:t>
      </w:r>
      <w:r w:rsidR="00FA1DF3" w:rsidRPr="00000FF1">
        <w:rPr>
          <w:rFonts w:asciiTheme="majorBidi" w:hAnsiTheme="majorBidi" w:cstheme="majorBidi"/>
          <w:sz w:val="24"/>
          <w:szCs w:val="24"/>
        </w:rPr>
        <w:t>rents types de GAG : le chondroïtine sulfate, le dermatane sulfate, le kératane sulfate, l’héparane</w:t>
      </w:r>
      <w:r w:rsidR="00FA1DF3">
        <w:rPr>
          <w:rFonts w:asciiTheme="majorBidi" w:hAnsiTheme="majorBidi" w:cstheme="majorBidi"/>
          <w:sz w:val="24"/>
          <w:szCs w:val="24"/>
        </w:rPr>
        <w:t xml:space="preserve">sulfate et l’acide hyaluronique. </w:t>
      </w:r>
      <w:r w:rsidR="00FA1DF3" w:rsidRPr="00031EC9">
        <w:rPr>
          <w:rFonts w:asciiTheme="majorBidi" w:hAnsiTheme="majorBidi" w:cstheme="majorBidi"/>
          <w:sz w:val="24"/>
          <w:szCs w:val="24"/>
        </w:rPr>
        <w:t>On outre</w:t>
      </w:r>
      <w:r w:rsidR="00FA1DF3">
        <w:rPr>
          <w:rFonts w:asciiTheme="majorBidi" w:hAnsiTheme="majorBidi" w:cstheme="majorBidi"/>
          <w:sz w:val="24"/>
          <w:szCs w:val="24"/>
        </w:rPr>
        <w:t xml:space="preserve">, </w:t>
      </w:r>
      <w:r w:rsidR="00FA1DF3" w:rsidRPr="00031EC9">
        <w:rPr>
          <w:rFonts w:asciiTheme="majorBidi" w:hAnsiTheme="majorBidi" w:cstheme="majorBidi"/>
          <w:sz w:val="24"/>
          <w:szCs w:val="24"/>
        </w:rPr>
        <w:t xml:space="preserve">plusieurs auteurs ont montré que l’héparine, un homologue des héparanes sulfates, et l’héparinase, capable de dégrader les héparanes sulfates à la surface des cellules, inhibaient l’adsorption du </w:t>
      </w:r>
      <w:r w:rsidR="00FA1DF3">
        <w:rPr>
          <w:rFonts w:asciiTheme="majorBidi" w:hAnsiTheme="majorBidi" w:cstheme="majorBidi"/>
          <w:sz w:val="24"/>
          <w:szCs w:val="24"/>
        </w:rPr>
        <w:t>VHC, au contraire</w:t>
      </w:r>
      <w:r w:rsidR="00FA1DF3" w:rsidRPr="00031EC9">
        <w:rPr>
          <w:rFonts w:asciiTheme="majorBidi" w:hAnsiTheme="majorBidi" w:cstheme="majorBidi"/>
          <w:sz w:val="24"/>
          <w:szCs w:val="24"/>
        </w:rPr>
        <w:t xml:space="preserve"> les autres GAG ne semblent pas avoir d’effet inhibiteur</w:t>
      </w:r>
      <w:r w:rsidR="00FA1DF3">
        <w:rPr>
          <w:rFonts w:asciiTheme="majorBidi" w:hAnsiTheme="majorBidi" w:cstheme="majorBidi"/>
          <w:sz w:val="24"/>
          <w:szCs w:val="24"/>
        </w:rPr>
        <w:t>.</w:t>
      </w:r>
    </w:p>
    <w:p w:rsidR="00FA1DF3" w:rsidRPr="00FA1DF3" w:rsidRDefault="00FA1DF3" w:rsidP="002F4B74">
      <w:pPr>
        <w:autoSpaceDE w:val="0"/>
        <w:autoSpaceDN w:val="0"/>
        <w:adjustRightInd w:val="0"/>
        <w:spacing w:after="0" w:line="360" w:lineRule="auto"/>
        <w:jc w:val="both"/>
        <w:rPr>
          <w:rFonts w:asciiTheme="majorBidi" w:hAnsiTheme="majorBidi" w:cstheme="majorBidi"/>
          <w:sz w:val="24"/>
          <w:szCs w:val="24"/>
        </w:rPr>
      </w:pPr>
      <w:r w:rsidRPr="00FA1DF3">
        <w:rPr>
          <w:rFonts w:asciiTheme="majorBidi" w:hAnsiTheme="majorBidi" w:cstheme="majorBidi"/>
          <w:color w:val="231F20"/>
          <w:sz w:val="24"/>
          <w:szCs w:val="24"/>
        </w:rPr>
        <w:t xml:space="preserve">          </w:t>
      </w:r>
      <w:r w:rsidR="009B673C">
        <w:rPr>
          <w:rFonts w:asciiTheme="majorBidi" w:hAnsiTheme="majorBidi" w:cstheme="majorBidi"/>
          <w:color w:val="231F20"/>
          <w:sz w:val="24"/>
          <w:szCs w:val="24"/>
        </w:rPr>
        <w:t xml:space="preserve">     </w:t>
      </w:r>
      <w:r w:rsidRPr="00FA1DF3">
        <w:rPr>
          <w:rFonts w:asciiTheme="majorBidi" w:hAnsiTheme="majorBidi" w:cstheme="majorBidi"/>
          <w:color w:val="231F20"/>
          <w:sz w:val="24"/>
          <w:szCs w:val="24"/>
        </w:rPr>
        <w:t xml:space="preserve"> A l’heure actuelle, l’interaction du VHC avec les GAG n’est pas nettement établie, il est possible que les particules du VHC interagissent avec les GAG de façon indirecte, par exemple, par l’intermédiaire des lipoprotéines associées aux particules du VHC. </w:t>
      </w:r>
      <w:r w:rsidRPr="00FA1DF3">
        <w:rPr>
          <w:rFonts w:asciiTheme="majorBidi" w:hAnsiTheme="majorBidi" w:cstheme="majorBidi"/>
          <w:sz w:val="24"/>
          <w:szCs w:val="24"/>
        </w:rPr>
        <w:t>Une étude récente suggère d’ailleurs que la lipoprotéine lipase (LPL) permet une interaction indirecte du VHC avec les GAG.</w:t>
      </w:r>
      <w:r w:rsidR="002F4B74">
        <w:rPr>
          <w:rFonts w:asciiTheme="majorBidi" w:hAnsiTheme="majorBidi" w:cstheme="majorBidi"/>
          <w:sz w:val="24"/>
          <w:szCs w:val="24"/>
        </w:rPr>
        <w:t xml:space="preserve"> </w:t>
      </w:r>
      <w:hyperlink r:id="rId37" w:history="1">
        <w:r w:rsidRPr="00FA1DF3">
          <w:rPr>
            <w:rStyle w:val="Lienhypertexte"/>
            <w:rFonts w:asciiTheme="majorBidi" w:hAnsiTheme="majorBidi" w:cstheme="majorBidi"/>
            <w:b/>
            <w:bCs/>
            <w:color w:val="auto"/>
            <w:sz w:val="24"/>
            <w:szCs w:val="24"/>
            <w:u w:val="none"/>
            <w:shd w:val="clear" w:color="auto" w:fill="FFFFFF"/>
          </w:rPr>
          <w:t>(Helle</w:t>
        </w:r>
      </w:hyperlink>
      <w:r w:rsidR="002F4B74">
        <w:t xml:space="preserve"> </w:t>
      </w:r>
      <w:r w:rsidR="002F4B74">
        <w:rPr>
          <w:rFonts w:asciiTheme="majorBidi" w:hAnsiTheme="majorBidi" w:cstheme="majorBidi"/>
          <w:b/>
          <w:bCs/>
          <w:sz w:val="24"/>
          <w:szCs w:val="24"/>
          <w:shd w:val="clear" w:color="auto" w:fill="FFFFFF"/>
        </w:rPr>
        <w:t xml:space="preserve">et </w:t>
      </w:r>
      <w:hyperlink r:id="rId38" w:history="1">
        <w:r w:rsidRPr="00FA1DF3">
          <w:rPr>
            <w:rStyle w:val="Lienhypertexte"/>
            <w:rFonts w:asciiTheme="majorBidi" w:hAnsiTheme="majorBidi" w:cstheme="majorBidi"/>
            <w:b/>
            <w:bCs/>
            <w:color w:val="auto"/>
            <w:sz w:val="24"/>
            <w:szCs w:val="24"/>
            <w:u w:val="none"/>
            <w:shd w:val="clear" w:color="auto" w:fill="FFFFFF"/>
          </w:rPr>
          <w:t>Cocquerel</w:t>
        </w:r>
      </w:hyperlink>
      <w:r w:rsidRPr="00FA1DF3">
        <w:rPr>
          <w:rFonts w:asciiTheme="majorBidi" w:hAnsiTheme="majorBidi" w:cstheme="majorBidi"/>
          <w:b/>
          <w:bCs/>
          <w:sz w:val="24"/>
          <w:szCs w:val="24"/>
        </w:rPr>
        <w:t>., 2008 ; Benbria, 2010).</w:t>
      </w:r>
    </w:p>
    <w:p w:rsidR="00FA1DF3" w:rsidRDefault="00FA1DF3" w:rsidP="00FA1DF3">
      <w:pPr>
        <w:autoSpaceDE w:val="0"/>
        <w:autoSpaceDN w:val="0"/>
        <w:adjustRightInd w:val="0"/>
        <w:spacing w:after="0" w:line="360" w:lineRule="auto"/>
        <w:jc w:val="both"/>
        <w:rPr>
          <w:rFonts w:asciiTheme="majorBidi" w:hAnsiTheme="majorBidi" w:cstheme="majorBidi"/>
          <w:sz w:val="24"/>
          <w:szCs w:val="24"/>
        </w:rPr>
      </w:pPr>
    </w:p>
    <w:p w:rsidR="00FA1DF3" w:rsidRDefault="00FA1DF3" w:rsidP="00FA1DF3">
      <w:pPr>
        <w:autoSpaceDE w:val="0"/>
        <w:autoSpaceDN w:val="0"/>
        <w:adjustRightInd w:val="0"/>
        <w:spacing w:after="0" w:line="360" w:lineRule="auto"/>
        <w:jc w:val="both"/>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jc w:val="both"/>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jc w:val="both"/>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jc w:val="both"/>
        <w:rPr>
          <w:rFonts w:asciiTheme="majorBidi" w:hAnsiTheme="majorBidi" w:cstheme="majorBidi"/>
          <w:color w:val="231F20"/>
          <w:sz w:val="24"/>
          <w:szCs w:val="24"/>
        </w:rPr>
      </w:pPr>
    </w:p>
    <w:p w:rsidR="00FA1DF3" w:rsidRPr="00113FA7" w:rsidRDefault="00FA1DF3" w:rsidP="00A21FB0">
      <w:pPr>
        <w:pStyle w:val="Paragraphedeliste"/>
        <w:numPr>
          <w:ilvl w:val="1"/>
          <w:numId w:val="47"/>
        </w:numPr>
        <w:autoSpaceDE w:val="0"/>
        <w:autoSpaceDN w:val="0"/>
        <w:adjustRightInd w:val="0"/>
        <w:spacing w:after="0" w:line="360" w:lineRule="auto"/>
        <w:jc w:val="both"/>
        <w:rPr>
          <w:rFonts w:asciiTheme="majorBidi" w:hAnsiTheme="majorBidi" w:cstheme="majorBidi"/>
          <w:b/>
          <w:bCs/>
          <w:color w:val="231F20"/>
          <w:sz w:val="24"/>
          <w:szCs w:val="24"/>
        </w:rPr>
      </w:pPr>
      <w:r w:rsidRPr="00113FA7">
        <w:rPr>
          <w:rFonts w:ascii="Times New Roman" w:hAnsi="Times New Roman" w:cs="Times New Roman"/>
          <w:b/>
          <w:bCs/>
          <w:sz w:val="24"/>
          <w:szCs w:val="24"/>
        </w:rPr>
        <w:lastRenderedPageBreak/>
        <w:t xml:space="preserve"> Les récepteurs </w:t>
      </w:r>
    </w:p>
    <w:p w:rsidR="00FA1DF3" w:rsidRDefault="00FA1DF3" w:rsidP="00FA1DF3">
      <w:pPr>
        <w:autoSpaceDE w:val="0"/>
        <w:autoSpaceDN w:val="0"/>
        <w:adjustRightInd w:val="0"/>
        <w:spacing w:after="0" w:line="360" w:lineRule="auto"/>
        <w:ind w:firstLine="708"/>
        <w:jc w:val="both"/>
        <w:rPr>
          <w:rFonts w:ascii="Times New Roman" w:hAnsi="Times New Roman" w:cs="Times New Roman"/>
          <w:sz w:val="24"/>
          <w:szCs w:val="24"/>
        </w:rPr>
      </w:pPr>
      <w:r w:rsidRPr="00113FA7">
        <w:rPr>
          <w:rFonts w:ascii="Times New Roman" w:hAnsi="Times New Roman" w:cs="Times New Roman"/>
          <w:sz w:val="24"/>
          <w:szCs w:val="24"/>
        </w:rPr>
        <w:t xml:space="preserve">Dans </w:t>
      </w:r>
      <w:r w:rsidRPr="007A2BFF">
        <w:rPr>
          <w:rFonts w:ascii="Times New Roman" w:hAnsi="Times New Roman" w:cs="Times New Roman"/>
          <w:sz w:val="24"/>
          <w:szCs w:val="24"/>
        </w:rPr>
        <w:t>une deuxième partie</w:t>
      </w:r>
      <w:r>
        <w:rPr>
          <w:rFonts w:ascii="Times New Roman" w:hAnsi="Times New Roman" w:cs="Times New Roman"/>
          <w:sz w:val="24"/>
          <w:szCs w:val="24"/>
        </w:rPr>
        <w:t>,</w:t>
      </w:r>
      <w:r w:rsidR="002F4B74">
        <w:rPr>
          <w:rFonts w:ascii="Times New Roman" w:hAnsi="Times New Roman" w:cs="Times New Roman"/>
          <w:sz w:val="24"/>
          <w:szCs w:val="24"/>
        </w:rPr>
        <w:t xml:space="preserve"> </w:t>
      </w:r>
      <w:r w:rsidRPr="00113FA7">
        <w:rPr>
          <w:rFonts w:ascii="Times New Roman" w:hAnsi="Times New Roman" w:cs="Times New Roman"/>
          <w:sz w:val="24"/>
          <w:szCs w:val="24"/>
        </w:rPr>
        <w:t>les particules virales se lient avec une plus grande affinité à un</w:t>
      </w:r>
      <w:r w:rsidR="002F4B74">
        <w:rPr>
          <w:rFonts w:ascii="Times New Roman" w:hAnsi="Times New Roman" w:cs="Times New Roman"/>
          <w:sz w:val="24"/>
          <w:szCs w:val="24"/>
        </w:rPr>
        <w:t xml:space="preserve"> </w:t>
      </w:r>
      <w:r w:rsidRPr="00113FA7">
        <w:rPr>
          <w:rFonts w:ascii="Times New Roman" w:hAnsi="Times New Roman" w:cs="Times New Roman"/>
          <w:sz w:val="24"/>
          <w:szCs w:val="24"/>
        </w:rPr>
        <w:t>récepteur ce qui leur permet de rentrer dans la cellule. Ces réce</w:t>
      </w:r>
      <w:r>
        <w:rPr>
          <w:rFonts w:ascii="Times New Roman" w:hAnsi="Times New Roman" w:cs="Times New Roman"/>
          <w:sz w:val="24"/>
          <w:szCs w:val="24"/>
        </w:rPr>
        <w:t xml:space="preserve">pteurs sont de plusieurs types </w:t>
      </w:r>
    </w:p>
    <w:p w:rsidR="00FA1DF3" w:rsidRPr="00113FA7" w:rsidRDefault="00FA1DF3" w:rsidP="00FA1DF3">
      <w:pPr>
        <w:autoSpaceDE w:val="0"/>
        <w:autoSpaceDN w:val="0"/>
        <w:adjustRightInd w:val="0"/>
        <w:spacing w:after="0" w:line="360" w:lineRule="auto"/>
        <w:ind w:firstLine="708"/>
        <w:jc w:val="both"/>
        <w:rPr>
          <w:rFonts w:ascii="Times New Roman" w:hAnsi="Times New Roman" w:cs="Times New Roman"/>
          <w:sz w:val="24"/>
          <w:szCs w:val="24"/>
        </w:rPr>
      </w:pPr>
    </w:p>
    <w:p w:rsidR="00FA1DF3" w:rsidRPr="00113FA7" w:rsidRDefault="00FA1DF3" w:rsidP="00A21FB0">
      <w:pPr>
        <w:pStyle w:val="Paragraphedeliste"/>
        <w:numPr>
          <w:ilvl w:val="2"/>
          <w:numId w:val="47"/>
        </w:numPr>
        <w:autoSpaceDE w:val="0"/>
        <w:autoSpaceDN w:val="0"/>
        <w:adjustRightInd w:val="0"/>
        <w:spacing w:after="0" w:line="360" w:lineRule="auto"/>
        <w:jc w:val="both"/>
        <w:rPr>
          <w:rFonts w:asciiTheme="majorBidi" w:hAnsiTheme="majorBidi" w:cstheme="majorBidi"/>
          <w:b/>
          <w:bCs/>
          <w:color w:val="000000"/>
          <w:sz w:val="24"/>
          <w:szCs w:val="24"/>
        </w:rPr>
      </w:pPr>
      <w:r w:rsidRPr="00113FA7">
        <w:rPr>
          <w:rFonts w:asciiTheme="majorBidi" w:hAnsiTheme="majorBidi" w:cstheme="majorBidi"/>
          <w:b/>
          <w:bCs/>
          <w:color w:val="000000"/>
          <w:sz w:val="24"/>
          <w:szCs w:val="24"/>
        </w:rPr>
        <w:t>Le récepteur des LDL</w:t>
      </w:r>
    </w:p>
    <w:p w:rsidR="00FA1DF3" w:rsidRDefault="00FA1DF3" w:rsidP="00FA1DF3">
      <w:pPr>
        <w:autoSpaceDE w:val="0"/>
        <w:autoSpaceDN w:val="0"/>
        <w:adjustRightInd w:val="0"/>
        <w:spacing w:after="0" w:line="360" w:lineRule="auto"/>
        <w:ind w:firstLine="708"/>
        <w:jc w:val="both"/>
        <w:rPr>
          <w:rFonts w:asciiTheme="majorBidi" w:hAnsiTheme="majorBidi" w:cstheme="majorBidi"/>
          <w:sz w:val="24"/>
          <w:szCs w:val="24"/>
        </w:rPr>
      </w:pPr>
      <w:r w:rsidRPr="006B7AF5">
        <w:rPr>
          <w:rFonts w:asciiTheme="majorBidi" w:hAnsiTheme="majorBidi" w:cstheme="majorBidi"/>
          <w:sz w:val="24"/>
          <w:szCs w:val="24"/>
        </w:rPr>
        <w:t xml:space="preserve">Dans le sérum des patients infectes, La densité des particules virales naturelles et très hétérogènes du fait de leur association à des lipoprotéines (de basse et de très basse densité LDL et VLDL) </w:t>
      </w:r>
      <w:r w:rsidRPr="006B7AF5">
        <w:rPr>
          <w:rFonts w:asciiTheme="majorBidi" w:hAnsiTheme="majorBidi" w:cstheme="majorBidi"/>
          <w:b/>
          <w:bCs/>
          <w:sz w:val="24"/>
          <w:szCs w:val="24"/>
        </w:rPr>
        <w:t>(Perlemuter</w:t>
      </w:r>
      <w:r w:rsidRPr="006B7AF5">
        <w:rPr>
          <w:rFonts w:asciiTheme="majorBidi" w:hAnsiTheme="majorBidi" w:cstheme="majorBidi"/>
          <w:b/>
          <w:bCs/>
          <w:i/>
          <w:iCs/>
          <w:sz w:val="24"/>
          <w:szCs w:val="24"/>
        </w:rPr>
        <w:t>et al</w:t>
      </w:r>
      <w:r w:rsidRPr="006B7AF5">
        <w:rPr>
          <w:rFonts w:asciiTheme="majorBidi" w:hAnsiTheme="majorBidi" w:cstheme="majorBidi"/>
          <w:b/>
          <w:bCs/>
          <w:sz w:val="24"/>
          <w:szCs w:val="24"/>
        </w:rPr>
        <w:t>., 2000).</w:t>
      </w:r>
      <w:r w:rsidRPr="006B7AF5">
        <w:rPr>
          <w:rFonts w:asciiTheme="majorBidi" w:hAnsiTheme="majorBidi" w:cstheme="majorBidi"/>
          <w:sz w:val="24"/>
          <w:szCs w:val="24"/>
        </w:rPr>
        <w:t xml:space="preserve">Ces particules infectieuses sont riches en triglycérides, ApoB, ApoE, ApoCII et possèdent les caractéristiques physico-chimiques des VLDL appelées des lipo-viro-particules (LVP). </w:t>
      </w:r>
    </w:p>
    <w:p w:rsidR="00FA1DF3" w:rsidRPr="006B7AF5" w:rsidRDefault="009B673C" w:rsidP="00FA1DF3">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 </w:t>
      </w:r>
      <w:r w:rsidR="00FA1DF3" w:rsidRPr="006B7AF5">
        <w:rPr>
          <w:rFonts w:asciiTheme="majorBidi" w:hAnsiTheme="majorBidi" w:cstheme="majorBidi"/>
          <w:sz w:val="24"/>
          <w:szCs w:val="24"/>
        </w:rPr>
        <w:t>De ce fait, le récepteur des LDL a été propos</w:t>
      </w:r>
      <w:r w:rsidR="00FA1DF3">
        <w:rPr>
          <w:rFonts w:asciiTheme="majorBidi" w:hAnsiTheme="majorBidi" w:cstheme="majorBidi"/>
          <w:sz w:val="24"/>
          <w:szCs w:val="24"/>
        </w:rPr>
        <w:t>é</w:t>
      </w:r>
      <w:r w:rsidR="00FA1DF3" w:rsidRPr="006B7AF5">
        <w:rPr>
          <w:rFonts w:asciiTheme="majorBidi" w:hAnsiTheme="majorBidi" w:cstheme="majorBidi"/>
          <w:sz w:val="24"/>
          <w:szCs w:val="24"/>
        </w:rPr>
        <w:t xml:space="preserve"> comme un co-facteur d’entrée du VHC.  Ainsi, il avait été suggéré que ce complexe LDL-VHC puisse</w:t>
      </w:r>
      <w:r w:rsidR="00FA1DF3">
        <w:rPr>
          <w:rFonts w:asciiTheme="majorBidi" w:hAnsiTheme="majorBidi" w:cstheme="majorBidi"/>
          <w:sz w:val="24"/>
          <w:szCs w:val="24"/>
        </w:rPr>
        <w:t xml:space="preserve"> se fixer aux </w:t>
      </w:r>
      <w:r w:rsidR="00FA1DF3" w:rsidRPr="006B7AF5">
        <w:rPr>
          <w:rFonts w:asciiTheme="majorBidi" w:hAnsiTheme="majorBidi" w:cstheme="majorBidi"/>
          <w:sz w:val="24"/>
          <w:szCs w:val="24"/>
        </w:rPr>
        <w:t>LDL</w:t>
      </w:r>
      <w:r w:rsidR="00FA1DF3">
        <w:rPr>
          <w:rFonts w:asciiTheme="majorBidi" w:hAnsiTheme="majorBidi" w:cstheme="majorBidi"/>
          <w:sz w:val="24"/>
          <w:szCs w:val="24"/>
        </w:rPr>
        <w:t>R</w:t>
      </w:r>
      <w:r w:rsidR="00FA1DF3" w:rsidRPr="006B7AF5">
        <w:rPr>
          <w:rFonts w:asciiTheme="majorBidi" w:hAnsiTheme="majorBidi" w:cstheme="majorBidi"/>
          <w:sz w:val="24"/>
          <w:szCs w:val="24"/>
        </w:rPr>
        <w:t xml:space="preserve"> cellulaires par le biais de son ligand naturel, les LDL.  L’entrée du VHC peut-être bloquée en utilisant des anticorps anti-LDLR, anti-apoB et anti-apoE, et par l’addition de LDL et de VLDL purifies </w:t>
      </w:r>
      <w:r w:rsidR="00FA1DF3" w:rsidRPr="006B7AF5">
        <w:rPr>
          <w:rFonts w:asciiTheme="majorBidi" w:hAnsiTheme="majorBidi" w:cstheme="majorBidi"/>
          <w:b/>
          <w:bCs/>
          <w:sz w:val="24"/>
          <w:szCs w:val="24"/>
        </w:rPr>
        <w:t xml:space="preserve">(Krieger, 2009). </w:t>
      </w:r>
    </w:p>
    <w:p w:rsidR="00FA1DF3" w:rsidRPr="006B7AF5" w:rsidRDefault="00FA1DF3" w:rsidP="00FA1DF3">
      <w:pPr>
        <w:autoSpaceDE w:val="0"/>
        <w:autoSpaceDN w:val="0"/>
        <w:adjustRightInd w:val="0"/>
        <w:spacing w:after="0" w:line="360" w:lineRule="auto"/>
        <w:jc w:val="both"/>
        <w:rPr>
          <w:rFonts w:asciiTheme="majorBidi" w:hAnsiTheme="majorBidi" w:cstheme="majorBidi"/>
          <w:sz w:val="24"/>
          <w:szCs w:val="24"/>
        </w:rPr>
      </w:pPr>
    </w:p>
    <w:p w:rsidR="00FA1DF3" w:rsidRPr="007A2BFF" w:rsidRDefault="00FA1DF3" w:rsidP="00A21FB0">
      <w:pPr>
        <w:pStyle w:val="Paragraphedeliste"/>
        <w:numPr>
          <w:ilvl w:val="2"/>
          <w:numId w:val="47"/>
        </w:numPr>
        <w:autoSpaceDE w:val="0"/>
        <w:autoSpaceDN w:val="0"/>
        <w:adjustRightInd w:val="0"/>
        <w:spacing w:after="0" w:line="360" w:lineRule="auto"/>
        <w:jc w:val="both"/>
        <w:rPr>
          <w:rFonts w:asciiTheme="majorBidi" w:hAnsiTheme="majorBidi" w:cstheme="majorBidi"/>
          <w:b/>
          <w:bCs/>
          <w:sz w:val="24"/>
          <w:szCs w:val="24"/>
        </w:rPr>
      </w:pPr>
      <w:r w:rsidRPr="00113FA7">
        <w:rPr>
          <w:rFonts w:asciiTheme="majorBidi" w:hAnsiTheme="majorBidi" w:cstheme="majorBidi"/>
          <w:b/>
          <w:bCs/>
          <w:sz w:val="24"/>
          <w:szCs w:val="24"/>
        </w:rPr>
        <w:t>Le récepteur scavenger SR-BI</w:t>
      </w:r>
    </w:p>
    <w:p w:rsidR="00FA1DF3" w:rsidRPr="008B6E3A" w:rsidRDefault="00FA1DF3" w:rsidP="00FA1DF3">
      <w:pPr>
        <w:autoSpaceDE w:val="0"/>
        <w:autoSpaceDN w:val="0"/>
        <w:adjustRightInd w:val="0"/>
        <w:spacing w:after="0" w:line="360" w:lineRule="auto"/>
        <w:ind w:firstLine="708"/>
        <w:jc w:val="both"/>
        <w:rPr>
          <w:rFonts w:asciiTheme="majorBidi" w:hAnsiTheme="majorBidi" w:cstheme="majorBidi"/>
          <w:b/>
          <w:bCs/>
          <w:color w:val="231F20"/>
          <w:sz w:val="24"/>
          <w:szCs w:val="24"/>
        </w:rPr>
      </w:pPr>
      <w:r w:rsidRPr="008B6E3A">
        <w:rPr>
          <w:rFonts w:asciiTheme="majorBidi" w:hAnsiTheme="majorBidi" w:cstheme="majorBidi"/>
          <w:color w:val="231F20"/>
          <w:sz w:val="24"/>
          <w:szCs w:val="24"/>
        </w:rPr>
        <w:t>IL sert également de récepteur pour les lipoprotéines de faibles densités, natives ou modifiées. À ce titre</w:t>
      </w:r>
      <w:r>
        <w:rPr>
          <w:rFonts w:asciiTheme="majorBidi" w:hAnsiTheme="majorBidi" w:cstheme="majorBidi"/>
          <w:color w:val="231F20"/>
          <w:sz w:val="24"/>
          <w:szCs w:val="24"/>
        </w:rPr>
        <w:t>, de manière identique</w:t>
      </w:r>
      <w:r w:rsidRPr="008B6E3A">
        <w:rPr>
          <w:rFonts w:asciiTheme="majorBidi" w:hAnsiTheme="majorBidi" w:cstheme="majorBidi"/>
          <w:color w:val="231F20"/>
          <w:sz w:val="24"/>
          <w:szCs w:val="24"/>
        </w:rPr>
        <w:t xml:space="preserve"> au LDLR, il permet d’induire la liaison et l’internalisation de particules virales de faible densité, dérivées du plasma, via leur association avec les bêta</w:t>
      </w:r>
      <w:r>
        <w:rPr>
          <w:rFonts w:asciiTheme="majorBidi" w:hAnsiTheme="majorBidi" w:cstheme="majorBidi"/>
          <w:color w:val="231F20"/>
          <w:sz w:val="24"/>
          <w:szCs w:val="24"/>
        </w:rPr>
        <w:t>-</w:t>
      </w:r>
      <w:r w:rsidRPr="008B6E3A">
        <w:rPr>
          <w:rFonts w:asciiTheme="majorBidi" w:hAnsiTheme="majorBidi" w:cstheme="majorBidi"/>
          <w:color w:val="231F20"/>
          <w:sz w:val="24"/>
          <w:szCs w:val="24"/>
        </w:rPr>
        <w:t xml:space="preserve">lipoprotéines </w:t>
      </w:r>
      <w:r w:rsidRPr="008B6E3A">
        <w:rPr>
          <w:rFonts w:asciiTheme="majorBidi" w:hAnsiTheme="majorBidi" w:cstheme="majorBidi"/>
          <w:b/>
          <w:bCs/>
          <w:color w:val="231F20"/>
          <w:sz w:val="24"/>
          <w:szCs w:val="24"/>
        </w:rPr>
        <w:t xml:space="preserve">(Benbria, 2010). </w:t>
      </w:r>
      <w:r w:rsidRPr="008B6E3A">
        <w:rPr>
          <w:rFonts w:asciiTheme="majorBidi" w:hAnsiTheme="majorBidi" w:cstheme="majorBidi"/>
          <w:color w:val="231F20"/>
          <w:sz w:val="24"/>
          <w:szCs w:val="24"/>
        </w:rPr>
        <w:t>Leur</w:t>
      </w:r>
      <w:r>
        <w:rPr>
          <w:rFonts w:asciiTheme="majorBidi" w:hAnsiTheme="majorBidi" w:cstheme="majorBidi"/>
          <w:sz w:val="24"/>
          <w:szCs w:val="24"/>
        </w:rPr>
        <w:t xml:space="preserve"> rôle exact dans l’entrée du VHC reste à illustrer</w:t>
      </w:r>
      <w:r w:rsidRPr="008B6E3A">
        <w:rPr>
          <w:rFonts w:asciiTheme="majorBidi" w:hAnsiTheme="majorBidi" w:cstheme="majorBidi"/>
          <w:sz w:val="24"/>
          <w:szCs w:val="24"/>
        </w:rPr>
        <w:t xml:space="preserve">.  La SR-BI capable de modifier la composition lipidique de la membrane plasmique. Ainsi, il est possible que l’effet </w:t>
      </w:r>
      <w:r>
        <w:rPr>
          <w:rFonts w:asciiTheme="majorBidi" w:hAnsiTheme="majorBidi" w:cstheme="majorBidi"/>
          <w:sz w:val="24"/>
          <w:szCs w:val="24"/>
        </w:rPr>
        <w:t>accélérateur sur l’entrée du VHC</w:t>
      </w:r>
      <w:r w:rsidRPr="008B6E3A">
        <w:rPr>
          <w:rFonts w:asciiTheme="majorBidi" w:hAnsiTheme="majorBidi" w:cstheme="majorBidi"/>
          <w:sz w:val="24"/>
          <w:szCs w:val="24"/>
        </w:rPr>
        <w:t xml:space="preserve"> soit la conséquence d’une modification de la membrane plasmique facilitant ainsi une des étapes de l’entrée (la fusion).</w:t>
      </w:r>
      <w:hyperlink r:id="rId39" w:history="1">
        <w:r w:rsidRPr="00FA1DF3">
          <w:rPr>
            <w:rStyle w:val="Lienhypertexte"/>
            <w:rFonts w:asciiTheme="majorBidi" w:hAnsiTheme="majorBidi" w:cstheme="majorBidi"/>
            <w:b/>
            <w:bCs/>
            <w:color w:val="auto"/>
            <w:sz w:val="24"/>
            <w:szCs w:val="24"/>
            <w:u w:val="none"/>
            <w:shd w:val="clear" w:color="auto" w:fill="FFFFFF"/>
          </w:rPr>
          <w:t>(Helle</w:t>
        </w:r>
      </w:hyperlink>
      <w:r w:rsidRPr="00FA1DF3">
        <w:rPr>
          <w:rFonts w:asciiTheme="majorBidi" w:hAnsiTheme="majorBidi" w:cstheme="majorBidi"/>
          <w:b/>
          <w:bCs/>
          <w:sz w:val="24"/>
          <w:szCs w:val="24"/>
          <w:shd w:val="clear" w:color="auto" w:fill="FFFFFF"/>
        </w:rPr>
        <w:t>&amp;</w:t>
      </w:r>
      <w:r w:rsidRPr="00FA1DF3">
        <w:rPr>
          <w:rStyle w:val="apple-converted-space"/>
          <w:rFonts w:asciiTheme="majorBidi" w:hAnsiTheme="majorBidi" w:cstheme="majorBidi"/>
          <w:b/>
          <w:bCs/>
          <w:sz w:val="24"/>
          <w:szCs w:val="24"/>
          <w:shd w:val="clear" w:color="auto" w:fill="FFFFFF"/>
        </w:rPr>
        <w:t> </w:t>
      </w:r>
      <w:hyperlink r:id="rId40" w:history="1">
        <w:r w:rsidRPr="00FA1DF3">
          <w:rPr>
            <w:rStyle w:val="Lienhypertexte"/>
            <w:rFonts w:asciiTheme="majorBidi" w:hAnsiTheme="majorBidi" w:cstheme="majorBidi"/>
            <w:b/>
            <w:bCs/>
            <w:color w:val="auto"/>
            <w:sz w:val="24"/>
            <w:szCs w:val="24"/>
            <w:u w:val="none"/>
            <w:shd w:val="clear" w:color="auto" w:fill="FFFFFF"/>
          </w:rPr>
          <w:t>Cocquerel</w:t>
        </w:r>
      </w:hyperlink>
      <w:r w:rsidRPr="00FA1DF3">
        <w:rPr>
          <w:rFonts w:asciiTheme="majorBidi" w:hAnsiTheme="majorBidi" w:cstheme="majorBidi"/>
          <w:b/>
          <w:bCs/>
          <w:sz w:val="24"/>
          <w:szCs w:val="24"/>
        </w:rPr>
        <w:t xml:space="preserve">., </w:t>
      </w:r>
      <w:r w:rsidRPr="00000FF1">
        <w:rPr>
          <w:rFonts w:asciiTheme="majorBidi" w:hAnsiTheme="majorBidi" w:cstheme="majorBidi"/>
          <w:b/>
          <w:bCs/>
          <w:sz w:val="24"/>
          <w:szCs w:val="24"/>
        </w:rPr>
        <w:t>2008)</w:t>
      </w:r>
      <w:r>
        <w:rPr>
          <w:rFonts w:asciiTheme="majorBidi" w:hAnsiTheme="majorBidi" w:cstheme="majorBidi"/>
          <w:b/>
          <w:bCs/>
          <w:sz w:val="24"/>
          <w:szCs w:val="24"/>
        </w:rPr>
        <w:t>.</w:t>
      </w:r>
    </w:p>
    <w:p w:rsidR="00FA1DF3" w:rsidRDefault="00FA1DF3" w:rsidP="00FA1DF3">
      <w:pPr>
        <w:autoSpaceDE w:val="0"/>
        <w:autoSpaceDN w:val="0"/>
        <w:adjustRightInd w:val="0"/>
        <w:spacing w:after="0" w:line="360" w:lineRule="auto"/>
        <w:jc w:val="both"/>
        <w:rPr>
          <w:rFonts w:asciiTheme="majorBidi" w:hAnsiTheme="majorBidi" w:cstheme="majorBidi"/>
          <w:b/>
          <w:bCs/>
          <w:color w:val="231F20"/>
          <w:sz w:val="24"/>
          <w:szCs w:val="24"/>
        </w:rPr>
      </w:pPr>
    </w:p>
    <w:p w:rsidR="00FA1DF3" w:rsidRPr="00955D50" w:rsidRDefault="00FA1DF3" w:rsidP="00A21FB0">
      <w:pPr>
        <w:pStyle w:val="Paragraphedeliste"/>
        <w:numPr>
          <w:ilvl w:val="2"/>
          <w:numId w:val="47"/>
        </w:numPr>
        <w:autoSpaceDE w:val="0"/>
        <w:autoSpaceDN w:val="0"/>
        <w:adjustRightInd w:val="0"/>
        <w:spacing w:after="0" w:line="360" w:lineRule="auto"/>
        <w:jc w:val="both"/>
        <w:rPr>
          <w:rFonts w:asciiTheme="majorBidi" w:hAnsiTheme="majorBidi" w:cstheme="majorBidi"/>
          <w:b/>
          <w:bCs/>
          <w:color w:val="231F20"/>
          <w:sz w:val="24"/>
          <w:szCs w:val="24"/>
        </w:rPr>
      </w:pPr>
      <w:r w:rsidRPr="00B23922">
        <w:rPr>
          <w:rFonts w:asciiTheme="majorBidi" w:hAnsiTheme="majorBidi" w:cstheme="majorBidi"/>
          <w:b/>
          <w:bCs/>
          <w:sz w:val="24"/>
          <w:szCs w:val="24"/>
        </w:rPr>
        <w:t>La tétraspanine CD-81</w:t>
      </w:r>
    </w:p>
    <w:p w:rsidR="00FA1DF3" w:rsidRPr="00955D50" w:rsidRDefault="00FA1DF3" w:rsidP="00FA1DF3">
      <w:pPr>
        <w:autoSpaceDE w:val="0"/>
        <w:autoSpaceDN w:val="0"/>
        <w:adjustRightInd w:val="0"/>
        <w:spacing w:after="0" w:line="360" w:lineRule="auto"/>
        <w:ind w:left="720"/>
        <w:jc w:val="both"/>
        <w:rPr>
          <w:rFonts w:asciiTheme="majorBidi" w:hAnsiTheme="majorBidi" w:cstheme="majorBidi"/>
          <w:b/>
          <w:bCs/>
          <w:color w:val="231F20"/>
          <w:sz w:val="24"/>
          <w:szCs w:val="24"/>
        </w:rPr>
      </w:pPr>
    </w:p>
    <w:p w:rsidR="00FA1DF3" w:rsidRDefault="00FA1DF3" w:rsidP="00FA1DF3">
      <w:pPr>
        <w:pStyle w:val="Default"/>
        <w:spacing w:line="360" w:lineRule="auto"/>
        <w:ind w:firstLine="708"/>
        <w:jc w:val="both"/>
      </w:pPr>
      <w:r w:rsidRPr="003A68E6">
        <w:rPr>
          <w:rFonts w:asciiTheme="majorBidi" w:hAnsiTheme="majorBidi" w:cstheme="majorBidi"/>
        </w:rPr>
        <w:t>CD81 est une protéine appartenant à la famille des tétraspanines. Ces protéines sont composées de quatre domaines transmembranaires, un court domaine intracellulaire et deux bouc</w:t>
      </w:r>
      <w:r>
        <w:rPr>
          <w:rFonts w:asciiTheme="majorBidi" w:hAnsiTheme="majorBidi" w:cstheme="majorBidi"/>
        </w:rPr>
        <w:t>les extracellulaires appelées «</w:t>
      </w:r>
      <w:r w:rsidRPr="003A68E6">
        <w:rPr>
          <w:rFonts w:asciiTheme="majorBidi" w:hAnsiTheme="majorBidi" w:cstheme="majorBidi"/>
        </w:rPr>
        <w:t>petite boucle extracellulair</w:t>
      </w:r>
      <w:r>
        <w:rPr>
          <w:rFonts w:asciiTheme="majorBidi" w:hAnsiTheme="majorBidi" w:cstheme="majorBidi"/>
        </w:rPr>
        <w:t>e» (SEL) et «grande boucle extracellulaire</w:t>
      </w:r>
      <w:r w:rsidRPr="003A68E6">
        <w:rPr>
          <w:rFonts w:asciiTheme="majorBidi" w:hAnsiTheme="majorBidi" w:cstheme="majorBidi"/>
        </w:rPr>
        <w:t>» (LEL)</w:t>
      </w:r>
      <w:r w:rsidRPr="0032673D">
        <w:rPr>
          <w:rFonts w:asciiTheme="majorBidi" w:hAnsiTheme="majorBidi" w:cstheme="majorBidi"/>
          <w:b/>
          <w:bCs/>
        </w:rPr>
        <w:t>(</w:t>
      </w:r>
      <w:r w:rsidRPr="0032673D">
        <w:rPr>
          <w:b/>
          <w:bCs/>
        </w:rPr>
        <w:t>Perugini, 2008)</w:t>
      </w:r>
      <w:r>
        <w:rPr>
          <w:b/>
          <w:bCs/>
        </w:rPr>
        <w:t>.</w:t>
      </w:r>
    </w:p>
    <w:p w:rsidR="00FA1DF3" w:rsidRPr="00955D50" w:rsidRDefault="00FA1DF3" w:rsidP="00FA1DF3">
      <w:pPr>
        <w:pStyle w:val="Default"/>
        <w:spacing w:line="360" w:lineRule="auto"/>
        <w:jc w:val="both"/>
      </w:pPr>
      <w:r>
        <w:t xml:space="preserve">La glycoprotéine E2 du HCV </w:t>
      </w:r>
      <w:r>
        <w:rPr>
          <w:i/>
          <w:iCs/>
        </w:rPr>
        <w:t xml:space="preserve">via </w:t>
      </w:r>
      <w:r>
        <w:t xml:space="preserve">sa grande boucle extracellulaire (LEL) est capable d’interagir avec CD-81, des résidus appartenant notamment aux régions hypervariables de E2 seraient importants pour cette interaction </w:t>
      </w:r>
      <w:r>
        <w:rPr>
          <w:rFonts w:asciiTheme="majorBidi" w:hAnsiTheme="majorBidi" w:cstheme="majorBidi"/>
          <w:b/>
          <w:bCs/>
        </w:rPr>
        <w:t>(</w:t>
      </w:r>
      <w:r w:rsidRPr="00D81605">
        <w:rPr>
          <w:rFonts w:asciiTheme="majorBidi" w:hAnsiTheme="majorBidi" w:cstheme="majorBidi"/>
          <w:b/>
          <w:bCs/>
        </w:rPr>
        <w:t>Depla, 2011)</w:t>
      </w:r>
    </w:p>
    <w:p w:rsidR="00FA1DF3" w:rsidRPr="003628E5" w:rsidRDefault="00FA1DF3" w:rsidP="00A21FB0">
      <w:pPr>
        <w:pStyle w:val="Paragraphedeliste"/>
        <w:numPr>
          <w:ilvl w:val="2"/>
          <w:numId w:val="47"/>
        </w:numPr>
        <w:autoSpaceDE w:val="0"/>
        <w:autoSpaceDN w:val="0"/>
        <w:adjustRightInd w:val="0"/>
        <w:spacing w:after="0" w:line="360" w:lineRule="auto"/>
        <w:jc w:val="both"/>
        <w:rPr>
          <w:rFonts w:ascii="Times New Roman" w:hAnsi="Times New Roman" w:cs="Times New Roman"/>
          <w:b/>
          <w:bCs/>
          <w:sz w:val="24"/>
          <w:szCs w:val="24"/>
        </w:rPr>
      </w:pPr>
      <w:r w:rsidRPr="003628E5">
        <w:rPr>
          <w:rFonts w:ascii="Times New Roman" w:hAnsi="Times New Roman" w:cs="Times New Roman"/>
          <w:b/>
          <w:bCs/>
          <w:sz w:val="24"/>
          <w:szCs w:val="24"/>
        </w:rPr>
        <w:lastRenderedPageBreak/>
        <w:t>Les protéines claudines</w:t>
      </w:r>
    </w:p>
    <w:p w:rsidR="00FA1DF3" w:rsidRPr="008B6259" w:rsidRDefault="00FA1DF3" w:rsidP="00FA1DF3">
      <w:pPr>
        <w:autoSpaceDE w:val="0"/>
        <w:autoSpaceDN w:val="0"/>
        <w:adjustRightInd w:val="0"/>
        <w:spacing w:after="0" w:line="360" w:lineRule="auto"/>
        <w:ind w:firstLine="708"/>
        <w:jc w:val="both"/>
        <w:rPr>
          <w:rFonts w:ascii="Times New Roman" w:hAnsi="Times New Roman" w:cs="Times New Roman"/>
          <w:sz w:val="24"/>
          <w:szCs w:val="24"/>
        </w:rPr>
      </w:pPr>
      <w:r w:rsidRPr="008B6259">
        <w:rPr>
          <w:rFonts w:asciiTheme="majorBidi" w:hAnsiTheme="majorBidi" w:cstheme="majorBidi"/>
          <w:sz w:val="24"/>
          <w:szCs w:val="24"/>
        </w:rPr>
        <w:t>CLDN1 est la première protéine décrite</w:t>
      </w:r>
      <w:r>
        <w:rPr>
          <w:rFonts w:asciiTheme="majorBidi" w:hAnsiTheme="majorBidi" w:cstheme="majorBidi"/>
          <w:sz w:val="24"/>
          <w:szCs w:val="24"/>
        </w:rPr>
        <w:t xml:space="preserve">, elle </w:t>
      </w:r>
      <w:r w:rsidRPr="008B6259">
        <w:rPr>
          <w:rFonts w:asciiTheme="majorBidi" w:hAnsiTheme="majorBidi" w:cstheme="majorBidi"/>
          <w:sz w:val="24"/>
          <w:szCs w:val="24"/>
        </w:rPr>
        <w:t xml:space="preserve">confère une susceptibilité à l’infection par le VHC à des cellules non-hépatiques. Elle est majoritairement exprimée dans le foie </w:t>
      </w:r>
      <w:r>
        <w:rPr>
          <w:rFonts w:asciiTheme="majorBidi" w:hAnsiTheme="majorBidi" w:cstheme="majorBidi"/>
          <w:b/>
          <w:bCs/>
          <w:sz w:val="24"/>
          <w:szCs w:val="24"/>
        </w:rPr>
        <w:t>(</w:t>
      </w:r>
      <w:r w:rsidRPr="00345C79">
        <w:rPr>
          <w:rFonts w:asciiTheme="majorBidi" w:hAnsiTheme="majorBidi" w:cstheme="majorBidi"/>
          <w:b/>
          <w:bCs/>
          <w:sz w:val="24"/>
          <w:szCs w:val="24"/>
        </w:rPr>
        <w:t>Wagane</w:t>
      </w:r>
      <w:r>
        <w:rPr>
          <w:rFonts w:asciiTheme="majorBidi" w:hAnsiTheme="majorBidi" w:cstheme="majorBidi"/>
          <w:b/>
          <w:bCs/>
          <w:sz w:val="24"/>
          <w:szCs w:val="24"/>
        </w:rPr>
        <w:t xml:space="preserve"> et </w:t>
      </w:r>
      <w:r w:rsidRPr="00345C79">
        <w:rPr>
          <w:rFonts w:asciiTheme="majorBidi" w:hAnsiTheme="majorBidi" w:cstheme="majorBidi"/>
          <w:b/>
          <w:bCs/>
          <w:sz w:val="24"/>
          <w:szCs w:val="24"/>
        </w:rPr>
        <w:t>Benga</w:t>
      </w:r>
      <w:r w:rsidRPr="008B6259">
        <w:rPr>
          <w:rFonts w:asciiTheme="majorBidi" w:hAnsiTheme="majorBidi" w:cstheme="majorBidi"/>
          <w:b/>
          <w:bCs/>
          <w:sz w:val="24"/>
          <w:szCs w:val="24"/>
        </w:rPr>
        <w:t>2008)</w:t>
      </w:r>
      <w:r>
        <w:rPr>
          <w:rFonts w:asciiTheme="majorBidi" w:hAnsiTheme="majorBidi" w:cstheme="majorBidi"/>
          <w:b/>
          <w:bCs/>
          <w:sz w:val="24"/>
          <w:szCs w:val="24"/>
        </w:rPr>
        <w:t>.</w:t>
      </w:r>
      <w:r>
        <w:rPr>
          <w:rFonts w:ascii="Times New Roman" w:hAnsi="Times New Roman" w:cs="Times New Roman"/>
          <w:sz w:val="24"/>
          <w:szCs w:val="24"/>
        </w:rPr>
        <w:t xml:space="preserve">Son implication dans le cycle viral du VHC a été découverte récemment et son rôle exact reste à déterminer. Une interaction avec la glycoprotéine E2 interviendrait tardivement au cours de l’entrée virale et entraînerait un changement de localisation des jonctions serrées </w:t>
      </w:r>
      <w:r>
        <w:rPr>
          <w:rFonts w:asciiTheme="majorBidi" w:hAnsiTheme="majorBidi" w:cstheme="majorBidi"/>
          <w:b/>
          <w:bCs/>
          <w:sz w:val="24"/>
          <w:szCs w:val="24"/>
        </w:rPr>
        <w:t>(</w:t>
      </w:r>
      <w:r w:rsidRPr="00D81605">
        <w:rPr>
          <w:rFonts w:asciiTheme="majorBidi" w:hAnsiTheme="majorBidi" w:cstheme="majorBidi"/>
          <w:b/>
          <w:bCs/>
          <w:sz w:val="24"/>
          <w:szCs w:val="24"/>
        </w:rPr>
        <w:t>Depla, 2011).</w:t>
      </w:r>
    </w:p>
    <w:p w:rsidR="00FA1DF3" w:rsidRDefault="00FA1DF3" w:rsidP="00FA1DF3">
      <w:pPr>
        <w:autoSpaceDE w:val="0"/>
        <w:autoSpaceDN w:val="0"/>
        <w:adjustRightInd w:val="0"/>
        <w:spacing w:after="0" w:line="360" w:lineRule="auto"/>
        <w:jc w:val="both"/>
        <w:rPr>
          <w:rFonts w:asciiTheme="majorBidi" w:hAnsiTheme="majorBidi" w:cstheme="majorBidi"/>
          <w:b/>
          <w:bCs/>
          <w:color w:val="231F20"/>
          <w:sz w:val="24"/>
          <w:szCs w:val="24"/>
        </w:rPr>
      </w:pPr>
    </w:p>
    <w:p w:rsidR="00FA1DF3" w:rsidRDefault="00FA1DF3" w:rsidP="00FA1DF3">
      <w:pPr>
        <w:autoSpaceDE w:val="0"/>
        <w:autoSpaceDN w:val="0"/>
        <w:adjustRightInd w:val="0"/>
        <w:spacing w:after="0" w:line="360" w:lineRule="auto"/>
        <w:jc w:val="center"/>
        <w:rPr>
          <w:rFonts w:asciiTheme="majorBidi" w:hAnsiTheme="majorBidi" w:cstheme="majorBidi"/>
          <w:b/>
          <w:bCs/>
          <w:color w:val="231F20"/>
          <w:sz w:val="24"/>
          <w:szCs w:val="24"/>
        </w:rPr>
      </w:pPr>
      <w:r w:rsidRPr="00774D2E">
        <w:rPr>
          <w:rFonts w:asciiTheme="majorBidi" w:hAnsiTheme="majorBidi" w:cstheme="majorBidi"/>
          <w:b/>
          <w:bCs/>
          <w:noProof/>
          <w:color w:val="231F20"/>
          <w:sz w:val="24"/>
          <w:szCs w:val="24"/>
          <w:lang w:eastAsia="fr-FR"/>
        </w:rPr>
        <w:drawing>
          <wp:inline distT="0" distB="0" distL="0" distR="0">
            <wp:extent cx="5124450" cy="3552825"/>
            <wp:effectExtent l="19050" t="0" r="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124450" cy="3552825"/>
                    </a:xfrm>
                    <a:prstGeom prst="rect">
                      <a:avLst/>
                    </a:prstGeom>
                    <a:noFill/>
                    <a:ln w="9525">
                      <a:noFill/>
                      <a:miter lim="800000"/>
                      <a:headEnd/>
                      <a:tailEnd/>
                    </a:ln>
                  </pic:spPr>
                </pic:pic>
              </a:graphicData>
            </a:graphic>
          </wp:inline>
        </w:drawing>
      </w:r>
    </w:p>
    <w:p w:rsidR="00FA1DF3" w:rsidRDefault="00824C86" w:rsidP="002F4B74">
      <w:pPr>
        <w:autoSpaceDE w:val="0"/>
        <w:autoSpaceDN w:val="0"/>
        <w:adjustRightInd w:val="0"/>
        <w:spacing w:after="0" w:line="360" w:lineRule="auto"/>
        <w:jc w:val="center"/>
        <w:rPr>
          <w:rFonts w:asciiTheme="majorBidi" w:hAnsiTheme="majorBidi" w:cstheme="majorBidi"/>
          <w:color w:val="231F20"/>
          <w:sz w:val="24"/>
          <w:szCs w:val="24"/>
        </w:rPr>
      </w:pPr>
      <w:r>
        <w:rPr>
          <w:rFonts w:asciiTheme="majorBidi" w:hAnsiTheme="majorBidi" w:cstheme="majorBidi"/>
          <w:noProof/>
          <w:color w:val="231F20"/>
          <w:sz w:val="24"/>
          <w:szCs w:val="24"/>
          <w:lang w:eastAsia="fr-FR"/>
        </w:rPr>
        <w:pict>
          <v:shape id="Zone de texte 52" o:spid="_x0000_s1031" type="#_x0000_t202" style="position:absolute;left:0;text-align:left;margin-left:17.35pt;margin-top:39.05pt;width:433.25pt;height:148.1pt;z-index:251693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" stroked="f">
            <v:textbox style="mso-fit-shape-to-text:t">
              <w:txbxContent>
                <w:p w:rsidR="006205BC" w:rsidRPr="00A708F7" w:rsidRDefault="006205BC" w:rsidP="00FA1DF3">
                  <w:pPr>
                    <w:jc w:val="both"/>
                  </w:pPr>
                  <w:r w:rsidRPr="00A708F7">
                    <w:rPr>
                      <w:rFonts w:asciiTheme="majorBidi" w:hAnsiTheme="majorBidi" w:cstheme="majorBidi"/>
                      <w:color w:val="231F20"/>
                    </w:rPr>
                    <w:t>SR-BI est constitué de deux passages transmembranaires, deux domaines intracellulaires [de 11 et 45 acides aminés (aa)] et une grande boucle extracellulaire (411 aa). SR-BI contient neuf sites potentiels de glycosylation représentés en rouge. CD81 est constitué de quatre passages transmembranaires, deux domaines intracellulaires (chacun de 12 aa), une petite boucle intracellulaire (5 aa) et deux boucles extracellulaires SEL (« petite boucle extracellulaire ») (30 aa) et LEL (« grande boucle extracellulaire » (89 aa). CLDN1 est constitué de quatre passages transmembranaires, un court peptide N-terminal intracellulaire (7 aa), une boucle intracellulaire (13 aa), une queue intracellulaire C-terminale (27 aa) et deux domaines extracellulaires, EL1 (53 aa) et EL2 (27 aa)</w:t>
                  </w:r>
                </w:p>
              </w:txbxContent>
            </v:textbox>
          </v:shape>
        </w:pict>
      </w:r>
      <w:r w:rsidR="002F4B74">
        <w:rPr>
          <w:rFonts w:asciiTheme="majorBidi" w:hAnsiTheme="majorBidi" w:cstheme="majorBidi"/>
          <w:b/>
          <w:bCs/>
          <w:sz w:val="24"/>
          <w:szCs w:val="24"/>
        </w:rPr>
        <w:t>Figure. I</w:t>
      </w:r>
      <w:r w:rsidR="00FA1DF3">
        <w:rPr>
          <w:rFonts w:asciiTheme="majorBidi" w:hAnsiTheme="majorBidi" w:cstheme="majorBidi"/>
          <w:b/>
          <w:bCs/>
          <w:sz w:val="24"/>
          <w:szCs w:val="24"/>
        </w:rPr>
        <w:t>.17</w:t>
      </w:r>
      <w:r w:rsidR="00FA1DF3" w:rsidRPr="00B23922">
        <w:rPr>
          <w:rFonts w:asciiTheme="majorBidi" w:hAnsiTheme="majorBidi" w:cstheme="majorBidi"/>
          <w:b/>
          <w:bCs/>
          <w:sz w:val="24"/>
          <w:szCs w:val="24"/>
        </w:rPr>
        <w:t>.</w:t>
      </w:r>
      <w:r w:rsidR="00FA1DF3" w:rsidRPr="007F214A">
        <w:rPr>
          <w:rFonts w:asciiTheme="majorBidi" w:hAnsiTheme="majorBidi" w:cstheme="majorBidi"/>
          <w:color w:val="231F20"/>
          <w:sz w:val="24"/>
          <w:szCs w:val="24"/>
        </w:rPr>
        <w:t>Représentation schématique de SR-BI, CD81 et</w:t>
      </w:r>
      <w:r w:rsidR="002F4B74">
        <w:rPr>
          <w:rFonts w:asciiTheme="majorBidi" w:hAnsiTheme="majorBidi" w:cstheme="majorBidi"/>
          <w:color w:val="231F20"/>
          <w:sz w:val="24"/>
          <w:szCs w:val="24"/>
        </w:rPr>
        <w:t xml:space="preserve"> </w:t>
      </w:r>
      <w:r w:rsidR="00FA1DF3" w:rsidRPr="007F214A">
        <w:rPr>
          <w:rFonts w:asciiTheme="majorBidi" w:hAnsiTheme="majorBidi" w:cstheme="majorBidi"/>
          <w:color w:val="231F20"/>
          <w:sz w:val="24"/>
          <w:szCs w:val="24"/>
        </w:rPr>
        <w:t>CLDN1</w:t>
      </w:r>
      <w:r w:rsidR="002F4B74">
        <w:rPr>
          <w:rFonts w:asciiTheme="majorBidi" w:hAnsiTheme="majorBidi" w:cstheme="majorBidi"/>
          <w:color w:val="231F20"/>
          <w:sz w:val="24"/>
          <w:szCs w:val="24"/>
        </w:rPr>
        <w:t xml:space="preserve"> </w:t>
      </w:r>
      <w:hyperlink r:id="rId42" w:history="1">
        <w:r w:rsidR="00FA1DF3" w:rsidRPr="00FA1DF3">
          <w:rPr>
            <w:rStyle w:val="Lienhypertexte"/>
            <w:rFonts w:asciiTheme="majorBidi" w:hAnsiTheme="majorBidi" w:cstheme="majorBidi"/>
            <w:b/>
            <w:bCs/>
            <w:color w:val="auto"/>
            <w:sz w:val="24"/>
            <w:szCs w:val="24"/>
            <w:u w:val="none"/>
            <w:shd w:val="clear" w:color="auto" w:fill="FFFFFF"/>
          </w:rPr>
          <w:t>(Helle</w:t>
        </w:r>
      </w:hyperlink>
      <w:r w:rsidR="00FA1DF3" w:rsidRPr="00FA1DF3">
        <w:rPr>
          <w:rFonts w:asciiTheme="majorBidi" w:hAnsiTheme="majorBidi" w:cstheme="majorBidi"/>
          <w:b/>
          <w:bCs/>
          <w:sz w:val="24"/>
          <w:szCs w:val="24"/>
          <w:shd w:val="clear" w:color="auto" w:fill="FFFFFF"/>
        </w:rPr>
        <w:t>&amp;</w:t>
      </w:r>
      <w:r w:rsidR="00FA1DF3" w:rsidRPr="00FA1DF3">
        <w:rPr>
          <w:rStyle w:val="apple-converted-space"/>
          <w:rFonts w:asciiTheme="majorBidi" w:hAnsiTheme="majorBidi" w:cstheme="majorBidi"/>
          <w:b/>
          <w:bCs/>
          <w:sz w:val="24"/>
          <w:szCs w:val="24"/>
          <w:shd w:val="clear" w:color="auto" w:fill="FFFFFF"/>
        </w:rPr>
        <w:t> </w:t>
      </w:r>
      <w:hyperlink r:id="rId43" w:history="1">
        <w:r w:rsidR="00FA1DF3" w:rsidRPr="00FA1DF3">
          <w:rPr>
            <w:rStyle w:val="Lienhypertexte"/>
            <w:rFonts w:asciiTheme="majorBidi" w:hAnsiTheme="majorBidi" w:cstheme="majorBidi"/>
            <w:b/>
            <w:bCs/>
            <w:color w:val="auto"/>
            <w:sz w:val="24"/>
            <w:szCs w:val="24"/>
            <w:u w:val="none"/>
            <w:shd w:val="clear" w:color="auto" w:fill="FFFFFF"/>
          </w:rPr>
          <w:t>Cocquerel</w:t>
        </w:r>
      </w:hyperlink>
      <w:r w:rsidR="00FA1DF3" w:rsidRPr="00FA1DF3">
        <w:rPr>
          <w:rFonts w:asciiTheme="majorBidi" w:hAnsiTheme="majorBidi" w:cstheme="majorBidi"/>
          <w:b/>
          <w:bCs/>
          <w:sz w:val="24"/>
          <w:szCs w:val="24"/>
        </w:rPr>
        <w:t xml:space="preserve">., </w:t>
      </w:r>
      <w:r w:rsidR="00FA1DF3" w:rsidRPr="00000FF1">
        <w:rPr>
          <w:rFonts w:asciiTheme="majorBidi" w:hAnsiTheme="majorBidi" w:cstheme="majorBidi"/>
          <w:b/>
          <w:bCs/>
          <w:sz w:val="24"/>
          <w:szCs w:val="24"/>
        </w:rPr>
        <w:t>2008)</w:t>
      </w:r>
      <w:r w:rsidR="00FA1DF3">
        <w:rPr>
          <w:rFonts w:asciiTheme="majorBidi" w:hAnsiTheme="majorBidi" w:cstheme="majorBidi"/>
          <w:b/>
          <w:bCs/>
          <w:sz w:val="24"/>
          <w:szCs w:val="24"/>
        </w:rPr>
        <w:t xml:space="preserve"> </w:t>
      </w:r>
    </w:p>
    <w:p w:rsidR="00FA1DF3" w:rsidRDefault="00FA1DF3" w:rsidP="00FA1DF3">
      <w:pPr>
        <w:autoSpaceDE w:val="0"/>
        <w:autoSpaceDN w:val="0"/>
        <w:adjustRightInd w:val="0"/>
        <w:spacing w:after="0" w:line="360" w:lineRule="auto"/>
        <w:jc w:val="center"/>
        <w:rPr>
          <w:rFonts w:asciiTheme="majorBidi" w:hAnsiTheme="majorBidi" w:cstheme="majorBidi"/>
          <w:color w:val="231F20"/>
          <w:sz w:val="24"/>
          <w:szCs w:val="24"/>
        </w:rPr>
      </w:pPr>
      <w:r w:rsidRPr="007F214A">
        <w:rPr>
          <w:rFonts w:asciiTheme="majorBidi" w:hAnsiTheme="majorBidi" w:cstheme="majorBidi"/>
          <w:color w:val="231F20"/>
          <w:sz w:val="24"/>
          <w:szCs w:val="24"/>
        </w:rPr>
        <w:t xml:space="preserve">. </w:t>
      </w:r>
    </w:p>
    <w:p w:rsidR="00FA1DF3" w:rsidRDefault="00FA1DF3" w:rsidP="00FA1DF3">
      <w:pPr>
        <w:autoSpaceDE w:val="0"/>
        <w:autoSpaceDN w:val="0"/>
        <w:adjustRightInd w:val="0"/>
        <w:spacing w:after="0" w:line="360" w:lineRule="auto"/>
        <w:jc w:val="center"/>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jc w:val="center"/>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jc w:val="center"/>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jc w:val="center"/>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rPr>
          <w:rFonts w:asciiTheme="majorBidi" w:hAnsiTheme="majorBidi" w:cstheme="majorBidi"/>
          <w:color w:val="231F20"/>
          <w:sz w:val="24"/>
          <w:szCs w:val="24"/>
        </w:rPr>
      </w:pPr>
    </w:p>
    <w:p w:rsidR="00FA1DF3" w:rsidRDefault="00FA1DF3" w:rsidP="00FA1DF3">
      <w:pPr>
        <w:autoSpaceDE w:val="0"/>
        <w:autoSpaceDN w:val="0"/>
        <w:adjustRightInd w:val="0"/>
        <w:spacing w:after="0" w:line="360" w:lineRule="auto"/>
        <w:rPr>
          <w:rFonts w:asciiTheme="majorBidi" w:hAnsiTheme="majorBidi" w:cstheme="majorBidi"/>
          <w:color w:val="231F20"/>
          <w:sz w:val="24"/>
          <w:szCs w:val="24"/>
        </w:rPr>
      </w:pPr>
    </w:p>
    <w:p w:rsidR="00FA1DF3" w:rsidRPr="00955D50" w:rsidRDefault="00FA1DF3" w:rsidP="00A21FB0">
      <w:pPr>
        <w:pStyle w:val="Paragraphedeliste"/>
        <w:numPr>
          <w:ilvl w:val="1"/>
          <w:numId w:val="47"/>
        </w:numPr>
        <w:autoSpaceDE w:val="0"/>
        <w:autoSpaceDN w:val="0"/>
        <w:adjustRightInd w:val="0"/>
        <w:spacing w:after="0" w:line="360" w:lineRule="auto"/>
        <w:rPr>
          <w:rFonts w:asciiTheme="majorBidi" w:hAnsiTheme="majorBidi" w:cstheme="majorBidi"/>
          <w:b/>
          <w:bCs/>
          <w:sz w:val="24"/>
          <w:szCs w:val="24"/>
        </w:rPr>
      </w:pPr>
      <w:r w:rsidRPr="00955D50">
        <w:rPr>
          <w:rFonts w:asciiTheme="majorBidi" w:hAnsiTheme="majorBidi" w:cstheme="majorBidi"/>
          <w:b/>
          <w:bCs/>
          <w:sz w:val="24"/>
          <w:szCs w:val="24"/>
        </w:rPr>
        <w:lastRenderedPageBreak/>
        <w:t>Modèle de l’entrée du VHC dans les cellules cibles</w:t>
      </w:r>
    </w:p>
    <w:p w:rsidR="00FA1DF3" w:rsidRPr="00955D50" w:rsidRDefault="00FA1DF3" w:rsidP="00FA1DF3">
      <w:pPr>
        <w:autoSpaceDE w:val="0"/>
        <w:autoSpaceDN w:val="0"/>
        <w:adjustRightInd w:val="0"/>
        <w:spacing w:after="0" w:line="360" w:lineRule="auto"/>
        <w:ind w:firstLine="708"/>
        <w:jc w:val="both"/>
        <w:rPr>
          <w:rFonts w:asciiTheme="majorBidi" w:hAnsiTheme="majorBidi" w:cstheme="majorBidi"/>
          <w:sz w:val="24"/>
          <w:szCs w:val="24"/>
        </w:rPr>
      </w:pPr>
      <w:r w:rsidRPr="00955D50">
        <w:rPr>
          <w:rFonts w:asciiTheme="majorBidi" w:hAnsiTheme="majorBidi" w:cstheme="majorBidi"/>
          <w:sz w:val="24"/>
          <w:szCs w:val="24"/>
        </w:rPr>
        <w:t>L’entrée du VHC dans l’hépatocyte est un processus séquentiel complexe où les glycoprotéines d’enveloppe E1 et E2 du VHC interagissent successivement avec différents facteurs cellulaires nécessaires à l’internalisation de la particule virale. Les facteurs connus à ce jour sont le récepteur SR-BI, la tétraspanine CD81et  les deux protéines de jonction claudine 1 (CLDN1).</w:t>
      </w:r>
    </w:p>
    <w:p w:rsidR="00FA1DF3" w:rsidRPr="00955D50" w:rsidRDefault="00FA1DF3" w:rsidP="00FA1DF3">
      <w:pPr>
        <w:autoSpaceDE w:val="0"/>
        <w:autoSpaceDN w:val="0"/>
        <w:adjustRightInd w:val="0"/>
        <w:spacing w:after="0" w:line="360" w:lineRule="auto"/>
        <w:ind w:firstLine="708"/>
        <w:jc w:val="both"/>
        <w:rPr>
          <w:rFonts w:asciiTheme="majorBidi" w:hAnsiTheme="majorBidi" w:cstheme="majorBidi"/>
          <w:b/>
          <w:bCs/>
          <w:sz w:val="24"/>
          <w:szCs w:val="24"/>
        </w:rPr>
      </w:pPr>
      <w:r w:rsidRPr="00955D50">
        <w:rPr>
          <w:rFonts w:asciiTheme="majorBidi" w:hAnsiTheme="majorBidi" w:cstheme="majorBidi"/>
          <w:sz w:val="24"/>
          <w:szCs w:val="24"/>
        </w:rPr>
        <w:t xml:space="preserve">Les particules virales interagis probablement avec SR-BI </w:t>
      </w:r>
      <w:r w:rsidRPr="00955D50">
        <w:rPr>
          <w:rFonts w:asciiTheme="majorBidi" w:hAnsiTheme="majorBidi" w:cstheme="majorBidi"/>
          <w:i/>
          <w:iCs/>
          <w:sz w:val="24"/>
          <w:szCs w:val="24"/>
        </w:rPr>
        <w:t xml:space="preserve">via </w:t>
      </w:r>
      <w:r w:rsidRPr="00955D50">
        <w:rPr>
          <w:rFonts w:asciiTheme="majorBidi" w:hAnsiTheme="majorBidi" w:cstheme="majorBidi"/>
          <w:sz w:val="24"/>
          <w:szCs w:val="24"/>
        </w:rPr>
        <w:t>la région hypervariable HVR1 de la glycoprotéine d’enveloppe E2, et CD81</w:t>
      </w:r>
      <w:r w:rsidRPr="00955D50">
        <w:rPr>
          <w:rFonts w:asciiTheme="majorBidi" w:hAnsiTheme="majorBidi" w:cstheme="majorBidi"/>
          <w:i/>
          <w:iCs/>
          <w:sz w:val="24"/>
          <w:szCs w:val="24"/>
        </w:rPr>
        <w:t xml:space="preserve"> via </w:t>
      </w:r>
      <w:r w:rsidRPr="00955D50">
        <w:rPr>
          <w:rFonts w:asciiTheme="majorBidi" w:hAnsiTheme="majorBidi" w:cstheme="majorBidi"/>
          <w:sz w:val="24"/>
          <w:szCs w:val="24"/>
        </w:rPr>
        <w:t xml:space="preserve">l’interaction entre un complexe </w:t>
      </w:r>
      <w:r>
        <w:rPr>
          <w:rFonts w:asciiTheme="majorBidi" w:hAnsiTheme="majorBidi" w:cstheme="majorBidi"/>
          <w:sz w:val="24"/>
          <w:szCs w:val="24"/>
        </w:rPr>
        <w:t xml:space="preserve">des </w:t>
      </w:r>
      <w:r w:rsidRPr="00955D50">
        <w:rPr>
          <w:rFonts w:asciiTheme="majorBidi" w:hAnsiTheme="majorBidi" w:cstheme="majorBidi"/>
          <w:sz w:val="24"/>
          <w:szCs w:val="24"/>
        </w:rPr>
        <w:t>épitopes</w:t>
      </w:r>
      <w:r w:rsidR="002F4B74">
        <w:rPr>
          <w:rFonts w:asciiTheme="majorBidi" w:hAnsiTheme="majorBidi" w:cstheme="majorBidi"/>
          <w:sz w:val="24"/>
          <w:szCs w:val="24"/>
        </w:rPr>
        <w:t xml:space="preserve"> </w:t>
      </w:r>
      <w:r w:rsidRPr="00955D50">
        <w:rPr>
          <w:rFonts w:asciiTheme="majorBidi" w:hAnsiTheme="majorBidi" w:cstheme="majorBidi"/>
          <w:sz w:val="24"/>
          <w:szCs w:val="24"/>
        </w:rPr>
        <w:t xml:space="preserve">conformationnels situé dans E2 et la grande boucle extracellulaire de CD81. CLDN1 agit à une étape tardive du processus d’entrée, après l’attachement, l’interaction avec CD81 et probablement après une migration latérale des complexes virus-récepteurs jusqu’aux jonctions serrées. Après ce processus complexe d’attachement, le virus pénètre dans la cellule par un mécanisme d’endocytose clathrine-dépendant. Après fusion de l’enveloppe virale avec l’endosome l’ARN viral est ensuite libéré dans le cytoplasme par un mécanisme pH-dépendant avant d’entamer son cycle de réplication </w:t>
      </w:r>
      <w:r w:rsidRPr="00955D50">
        <w:rPr>
          <w:rFonts w:asciiTheme="majorBidi" w:hAnsiTheme="majorBidi" w:cstheme="majorBidi"/>
          <w:b/>
          <w:bCs/>
          <w:sz w:val="24"/>
          <w:szCs w:val="24"/>
        </w:rPr>
        <w:t>(</w:t>
      </w:r>
      <w:r w:rsidRPr="00ED16E4">
        <w:rPr>
          <w:rFonts w:asciiTheme="majorBidi" w:hAnsiTheme="majorBidi" w:cstheme="majorBidi"/>
          <w:b/>
          <w:bCs/>
        </w:rPr>
        <w:t>Felmlee</w:t>
      </w:r>
      <w:r w:rsidRPr="00955D50">
        <w:rPr>
          <w:rFonts w:asciiTheme="majorBidi" w:hAnsiTheme="majorBidi" w:cstheme="majorBidi"/>
          <w:b/>
          <w:bCs/>
          <w:sz w:val="24"/>
          <w:szCs w:val="24"/>
        </w:rPr>
        <w:t xml:space="preserve"> et al 201</w:t>
      </w:r>
      <w:r>
        <w:rPr>
          <w:rFonts w:asciiTheme="majorBidi" w:hAnsiTheme="majorBidi" w:cstheme="majorBidi"/>
          <w:b/>
          <w:bCs/>
          <w:sz w:val="24"/>
          <w:szCs w:val="24"/>
        </w:rPr>
        <w:t>3</w:t>
      </w:r>
      <w:r w:rsidRPr="00955D50">
        <w:rPr>
          <w:rFonts w:asciiTheme="majorBidi" w:hAnsiTheme="majorBidi" w:cstheme="majorBidi"/>
          <w:b/>
          <w:bCs/>
          <w:sz w:val="24"/>
          <w:szCs w:val="24"/>
        </w:rPr>
        <w:t> ; Benbria, 2010).</w:t>
      </w:r>
    </w:p>
    <w:p w:rsidR="00FA1DF3" w:rsidRDefault="00FA1DF3" w:rsidP="00FA1DF3">
      <w:pPr>
        <w:autoSpaceDE w:val="0"/>
        <w:autoSpaceDN w:val="0"/>
        <w:adjustRightInd w:val="0"/>
        <w:spacing w:after="0" w:line="360" w:lineRule="auto"/>
        <w:rPr>
          <w:rFonts w:asciiTheme="majorBidi" w:hAnsiTheme="majorBidi" w:cstheme="majorBidi"/>
          <w:b/>
          <w:bCs/>
          <w:sz w:val="24"/>
          <w:szCs w:val="24"/>
        </w:rPr>
      </w:pPr>
    </w:p>
    <w:p w:rsidR="00FA1DF3" w:rsidRDefault="00FA1DF3" w:rsidP="00FA1DF3">
      <w:pPr>
        <w:autoSpaceDE w:val="0"/>
        <w:autoSpaceDN w:val="0"/>
        <w:adjustRightInd w:val="0"/>
        <w:spacing w:after="0" w:line="360" w:lineRule="auto"/>
        <w:jc w:val="center"/>
        <w:rPr>
          <w:rFonts w:asciiTheme="majorBidi" w:hAnsiTheme="majorBidi" w:cstheme="majorBidi"/>
          <w:sz w:val="24"/>
          <w:szCs w:val="24"/>
        </w:rPr>
      </w:pPr>
    </w:p>
    <w:p w:rsidR="00FA1DF3" w:rsidRDefault="00FA1DF3" w:rsidP="00FA1DF3">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6151890" cy="4124325"/>
            <wp:effectExtent l="19050" t="0" r="1260" b="0"/>
            <wp:docPr id="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6159122" cy="4129174"/>
                    </a:xfrm>
                    <a:prstGeom prst="rect">
                      <a:avLst/>
                    </a:prstGeom>
                    <a:noFill/>
                    <a:ln w="9525">
                      <a:noFill/>
                      <a:miter lim="800000"/>
                      <a:headEnd/>
                      <a:tailEnd/>
                    </a:ln>
                  </pic:spPr>
                </pic:pic>
              </a:graphicData>
            </a:graphic>
          </wp:inline>
        </w:drawing>
      </w:r>
    </w:p>
    <w:p w:rsidR="00FA1DF3" w:rsidRPr="00955D50" w:rsidRDefault="00FA1DF3" w:rsidP="00FA1DF3">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b/>
          <w:bCs/>
          <w:sz w:val="24"/>
          <w:szCs w:val="24"/>
        </w:rPr>
        <w:t>Figure.I.18</w:t>
      </w:r>
      <w:r w:rsidRPr="00C6243C">
        <w:rPr>
          <w:rFonts w:asciiTheme="majorBidi" w:hAnsiTheme="majorBidi" w:cstheme="majorBidi"/>
          <w:b/>
          <w:bCs/>
          <w:sz w:val="24"/>
          <w:szCs w:val="24"/>
        </w:rPr>
        <w:t xml:space="preserve">. </w:t>
      </w:r>
      <w:r w:rsidRPr="00C6243C">
        <w:rPr>
          <w:rFonts w:asciiTheme="majorBidi" w:hAnsiTheme="majorBidi" w:cstheme="majorBidi"/>
          <w:sz w:val="24"/>
          <w:szCs w:val="24"/>
        </w:rPr>
        <w:t>Cycle viral hypothétique du VHC</w:t>
      </w:r>
      <w:r>
        <w:rPr>
          <w:rFonts w:asciiTheme="majorBidi" w:hAnsiTheme="majorBidi" w:cstheme="majorBidi"/>
          <w:sz w:val="24"/>
          <w:szCs w:val="24"/>
        </w:rPr>
        <w:t xml:space="preserve"> (</w:t>
      </w:r>
      <w:r w:rsidRPr="00E55B32">
        <w:rPr>
          <w:rFonts w:asciiTheme="majorBidi" w:hAnsiTheme="majorBidi" w:cstheme="majorBidi"/>
          <w:b/>
          <w:bCs/>
          <w:sz w:val="24"/>
          <w:szCs w:val="24"/>
        </w:rPr>
        <w:t>Zeba, 2009</w:t>
      </w:r>
      <w:r>
        <w:rPr>
          <w:rFonts w:asciiTheme="majorBidi" w:hAnsiTheme="majorBidi" w:cstheme="majorBidi"/>
          <w:sz w:val="24"/>
          <w:szCs w:val="24"/>
        </w:rPr>
        <w:t>)</w:t>
      </w:r>
    </w:p>
    <w:p w:rsidR="00FA1DF3" w:rsidRPr="00D337BF" w:rsidRDefault="00FA1DF3" w:rsidP="00FA1DF3">
      <w:pPr>
        <w:autoSpaceDE w:val="0"/>
        <w:autoSpaceDN w:val="0"/>
        <w:adjustRightInd w:val="0"/>
        <w:spacing w:after="0" w:line="360" w:lineRule="auto"/>
        <w:rPr>
          <w:rFonts w:asciiTheme="majorBidi" w:hAnsiTheme="majorBidi" w:cstheme="majorBidi"/>
          <w:b/>
          <w:bCs/>
          <w:sz w:val="24"/>
          <w:szCs w:val="24"/>
        </w:rPr>
      </w:pPr>
    </w:p>
    <w:p w:rsidR="00FA1DF3" w:rsidRPr="00D337BF" w:rsidRDefault="00FA1DF3" w:rsidP="00A21FB0">
      <w:pPr>
        <w:pStyle w:val="Paragraphedeliste"/>
        <w:numPr>
          <w:ilvl w:val="0"/>
          <w:numId w:val="47"/>
        </w:numPr>
        <w:autoSpaceDE w:val="0"/>
        <w:autoSpaceDN w:val="0"/>
        <w:adjustRightInd w:val="0"/>
        <w:spacing w:after="0" w:line="360" w:lineRule="auto"/>
        <w:rPr>
          <w:rFonts w:asciiTheme="majorBidi" w:hAnsiTheme="majorBidi" w:cstheme="majorBidi"/>
          <w:b/>
          <w:bCs/>
          <w:sz w:val="24"/>
          <w:szCs w:val="24"/>
        </w:rPr>
      </w:pPr>
      <w:r w:rsidRPr="00D337BF">
        <w:rPr>
          <w:rFonts w:asciiTheme="majorBidi" w:hAnsiTheme="majorBidi" w:cstheme="majorBidi"/>
          <w:b/>
          <w:bCs/>
          <w:sz w:val="24"/>
          <w:szCs w:val="24"/>
        </w:rPr>
        <w:lastRenderedPageBreak/>
        <w:t>Rôle des gouttelettes lipidiques et sécrétion des VLDL dans l’assemblage et sécrétion du VHC</w:t>
      </w:r>
    </w:p>
    <w:p w:rsidR="00FA1DF3" w:rsidRPr="00856B78" w:rsidRDefault="00FA1DF3" w:rsidP="00FA1DF3">
      <w:pPr>
        <w:autoSpaceDE w:val="0"/>
        <w:autoSpaceDN w:val="0"/>
        <w:adjustRightInd w:val="0"/>
        <w:spacing w:after="0" w:line="360" w:lineRule="auto"/>
        <w:ind w:firstLine="708"/>
        <w:jc w:val="both"/>
        <w:rPr>
          <w:rFonts w:asciiTheme="majorBidi" w:hAnsiTheme="majorBidi" w:cstheme="majorBidi"/>
          <w:b/>
          <w:bCs/>
          <w:sz w:val="24"/>
          <w:szCs w:val="24"/>
        </w:rPr>
      </w:pPr>
      <w:r w:rsidRPr="00856B78">
        <w:rPr>
          <w:rFonts w:asciiTheme="majorBidi" w:hAnsiTheme="majorBidi" w:cstheme="majorBidi"/>
          <w:sz w:val="24"/>
          <w:szCs w:val="24"/>
        </w:rPr>
        <w:t xml:space="preserve">Les hépatocytes sont capables de stocker une grande quantité de TG et de les sécréter via </w:t>
      </w:r>
      <w:r>
        <w:rPr>
          <w:rFonts w:asciiTheme="majorBidi" w:hAnsiTheme="majorBidi" w:cstheme="majorBidi"/>
          <w:sz w:val="24"/>
          <w:szCs w:val="24"/>
        </w:rPr>
        <w:t>la formation de VLDL,</w:t>
      </w:r>
      <w:r w:rsidR="002F4B74">
        <w:rPr>
          <w:rFonts w:asciiTheme="majorBidi" w:hAnsiTheme="majorBidi" w:cstheme="majorBidi"/>
          <w:sz w:val="24"/>
          <w:szCs w:val="24"/>
        </w:rPr>
        <w:t xml:space="preserve"> </w:t>
      </w:r>
      <w:r>
        <w:rPr>
          <w:rFonts w:asciiTheme="majorBidi" w:hAnsiTheme="majorBidi" w:cstheme="majorBidi"/>
          <w:sz w:val="24"/>
          <w:szCs w:val="24"/>
        </w:rPr>
        <w:t>Ainsi que l</w:t>
      </w:r>
      <w:r w:rsidRPr="00856B78">
        <w:rPr>
          <w:rFonts w:asciiTheme="majorBidi" w:hAnsiTheme="majorBidi" w:cstheme="majorBidi"/>
          <w:sz w:val="24"/>
          <w:szCs w:val="24"/>
        </w:rPr>
        <w:t>a première étape de l’assemblage des VLDL implique le transfert des lipides sur l’apolipoproteine B (ApoB) par la protéine de transfert microsomal (MTP). La MTP est une enzyme clé du processus de sécrétion des VLDL qui transfère les lipides sur l’ApoB et lui permet d’acquérir une conformation appropriée et de poursuivre sa translocation dans le réticulum endoplasmique</w:t>
      </w:r>
      <w:r>
        <w:rPr>
          <w:rFonts w:asciiTheme="majorBidi" w:hAnsiTheme="majorBidi" w:cstheme="majorBidi"/>
          <w:sz w:val="24"/>
          <w:szCs w:val="24"/>
        </w:rPr>
        <w:t xml:space="preserve"> (RE)</w:t>
      </w:r>
      <w:r w:rsidR="002F4B74">
        <w:rPr>
          <w:rFonts w:asciiTheme="majorBidi" w:hAnsiTheme="majorBidi" w:cstheme="majorBidi"/>
          <w:sz w:val="24"/>
          <w:szCs w:val="24"/>
        </w:rPr>
        <w:t xml:space="preserve"> </w:t>
      </w:r>
      <w:r w:rsidRPr="00856B78">
        <w:rPr>
          <w:rFonts w:asciiTheme="majorBidi" w:hAnsiTheme="majorBidi" w:cstheme="majorBidi"/>
          <w:b/>
          <w:bCs/>
          <w:sz w:val="24"/>
          <w:szCs w:val="24"/>
        </w:rPr>
        <w:t>(Benbria, 2010).</w:t>
      </w:r>
    </w:p>
    <w:p w:rsidR="00FA1DF3" w:rsidRPr="00F85B67" w:rsidRDefault="00FA1DF3" w:rsidP="00FA1DF3">
      <w:pPr>
        <w:autoSpaceDE w:val="0"/>
        <w:autoSpaceDN w:val="0"/>
        <w:adjustRightInd w:val="0"/>
        <w:spacing w:after="0" w:line="360" w:lineRule="auto"/>
        <w:ind w:firstLine="708"/>
        <w:jc w:val="both"/>
        <w:rPr>
          <w:rFonts w:asciiTheme="majorBidi" w:hAnsiTheme="majorBidi" w:cstheme="majorBidi"/>
          <w:sz w:val="24"/>
          <w:szCs w:val="24"/>
        </w:rPr>
      </w:pPr>
      <w:r w:rsidRPr="001E3F2C">
        <w:rPr>
          <w:rFonts w:asciiTheme="majorBidi" w:hAnsiTheme="majorBidi" w:cstheme="majorBidi"/>
          <w:sz w:val="24"/>
          <w:szCs w:val="24"/>
        </w:rPr>
        <w:t xml:space="preserve">Le trafic intracellulaire des gouttelettes lipidiques et la production de VLDL sont deux mécanismes intimement liés. En effet les TG contenus dans les VLDL ne sont pas issus directement des membranes ou d’une </w:t>
      </w:r>
      <w:r w:rsidRPr="00634BC0">
        <w:rPr>
          <w:rFonts w:asciiTheme="majorBidi" w:hAnsiTheme="majorBidi" w:cstheme="majorBidi"/>
          <w:sz w:val="24"/>
          <w:szCs w:val="24"/>
        </w:rPr>
        <w:t>synthèse de novo</w:t>
      </w:r>
      <w:r w:rsidRPr="001E3F2C">
        <w:rPr>
          <w:rFonts w:asciiTheme="majorBidi" w:hAnsiTheme="majorBidi" w:cstheme="majorBidi"/>
          <w:sz w:val="24"/>
          <w:szCs w:val="24"/>
        </w:rPr>
        <w:t>, mais proviennent essentiellement des TG stockés par les gouttelettes lipidiques</w:t>
      </w:r>
      <w:r w:rsidR="002F4B74">
        <w:rPr>
          <w:rFonts w:asciiTheme="majorBidi" w:hAnsiTheme="majorBidi" w:cstheme="majorBidi"/>
          <w:sz w:val="24"/>
          <w:szCs w:val="24"/>
        </w:rPr>
        <w:t xml:space="preserve"> </w:t>
      </w:r>
      <w:r>
        <w:rPr>
          <w:rFonts w:asciiTheme="majorBidi" w:hAnsiTheme="majorBidi" w:cstheme="majorBidi"/>
          <w:b/>
          <w:bCs/>
          <w:sz w:val="24"/>
          <w:szCs w:val="24"/>
        </w:rPr>
        <w:t>(Piodi, 2010</w:t>
      </w:r>
      <w:r w:rsidRPr="001E3F2C">
        <w:rPr>
          <w:rFonts w:asciiTheme="majorBidi" w:hAnsiTheme="majorBidi" w:cstheme="majorBidi"/>
          <w:b/>
          <w:bCs/>
          <w:sz w:val="24"/>
          <w:szCs w:val="24"/>
        </w:rPr>
        <w:t>)</w:t>
      </w:r>
      <w:r>
        <w:rPr>
          <w:rFonts w:asciiTheme="majorBidi" w:hAnsiTheme="majorBidi" w:cstheme="majorBidi"/>
          <w:b/>
          <w:bCs/>
          <w:sz w:val="24"/>
          <w:szCs w:val="24"/>
        </w:rPr>
        <w:t>.</w:t>
      </w:r>
    </w:p>
    <w:p w:rsidR="00FA1DF3" w:rsidRPr="000E16A6" w:rsidRDefault="00FA1DF3" w:rsidP="00FA1DF3">
      <w:pPr>
        <w:autoSpaceDE w:val="0"/>
        <w:autoSpaceDN w:val="0"/>
        <w:adjustRightInd w:val="0"/>
        <w:spacing w:after="0" w:line="360" w:lineRule="auto"/>
        <w:jc w:val="both"/>
        <w:rPr>
          <w:rFonts w:ascii="Times New Roman" w:hAnsi="Times New Roman" w:cs="Times New Roman"/>
          <w:b/>
          <w:bCs/>
          <w:sz w:val="24"/>
          <w:szCs w:val="24"/>
        </w:rPr>
      </w:pPr>
      <w:r w:rsidRPr="001E3F2C">
        <w:rPr>
          <w:rFonts w:asciiTheme="majorBidi" w:hAnsiTheme="majorBidi" w:cstheme="majorBidi"/>
          <w:sz w:val="24"/>
          <w:szCs w:val="24"/>
        </w:rPr>
        <w:t xml:space="preserve">Le lien entre le VHC et les gouttelettes lipidiques a été évoqué pour la première fois il y a une dizaine d’année, lorsque des études d’expression de la protéine de core du VHC en lignées cellulaires </w:t>
      </w:r>
      <w:r w:rsidRPr="0092687A">
        <w:rPr>
          <w:rFonts w:asciiTheme="majorBidi" w:hAnsiTheme="majorBidi" w:cstheme="majorBidi"/>
          <w:sz w:val="24"/>
          <w:szCs w:val="24"/>
        </w:rPr>
        <w:t>in vitro</w:t>
      </w:r>
      <w:r w:rsidR="002F4B74">
        <w:rPr>
          <w:rFonts w:asciiTheme="majorBidi" w:hAnsiTheme="majorBidi" w:cstheme="majorBidi"/>
          <w:sz w:val="24"/>
          <w:szCs w:val="24"/>
        </w:rPr>
        <w:t xml:space="preserve"> </w:t>
      </w:r>
      <w:r w:rsidRPr="001E3F2C">
        <w:rPr>
          <w:rFonts w:asciiTheme="majorBidi" w:hAnsiTheme="majorBidi" w:cstheme="majorBidi"/>
          <w:sz w:val="24"/>
          <w:szCs w:val="24"/>
        </w:rPr>
        <w:t>ont montré que cette protéine se localisait en surface des gouttelettes lipidiques. Le clivage de la  protéine de core par une protéase cellulaire, la SPP (Signal Peptide Peptidase) est nécessaire pour permettre le trafic de cette protéine vers leur surface. Cependant, la MTP n’est alors plus capable</w:t>
      </w:r>
      <w:r w:rsidR="002F4B74">
        <w:rPr>
          <w:rFonts w:asciiTheme="majorBidi" w:hAnsiTheme="majorBidi" w:cstheme="majorBidi"/>
          <w:sz w:val="24"/>
          <w:szCs w:val="24"/>
        </w:rPr>
        <w:t xml:space="preserve"> </w:t>
      </w:r>
      <w:r w:rsidRPr="001E3F2C">
        <w:rPr>
          <w:rFonts w:asciiTheme="majorBidi" w:hAnsiTheme="majorBidi" w:cstheme="majorBidi"/>
          <w:sz w:val="24"/>
          <w:szCs w:val="24"/>
        </w:rPr>
        <w:t>de transférer les TG, entraînant ainsi une baisse de la formation et de la sécrétion des VLDL ce qui pourrait expliquer l’accumulation intra</w:t>
      </w:r>
      <w:r>
        <w:rPr>
          <w:rFonts w:asciiTheme="majorBidi" w:hAnsiTheme="majorBidi" w:cstheme="majorBidi"/>
          <w:sz w:val="24"/>
          <w:szCs w:val="24"/>
        </w:rPr>
        <w:t>-</w:t>
      </w:r>
      <w:r w:rsidRPr="001E3F2C">
        <w:rPr>
          <w:rFonts w:asciiTheme="majorBidi" w:hAnsiTheme="majorBidi" w:cstheme="majorBidi"/>
          <w:sz w:val="24"/>
          <w:szCs w:val="24"/>
        </w:rPr>
        <w:t>hépatocytaire des TG</w:t>
      </w:r>
      <w:r w:rsidR="002F4B74">
        <w:rPr>
          <w:rFonts w:asciiTheme="majorBidi" w:hAnsiTheme="majorBidi" w:cstheme="majorBidi"/>
          <w:sz w:val="24"/>
          <w:szCs w:val="24"/>
        </w:rPr>
        <w:t xml:space="preserve"> </w:t>
      </w:r>
      <w:r w:rsidRPr="00023E3F">
        <w:rPr>
          <w:rFonts w:asciiTheme="majorBidi" w:hAnsiTheme="majorBidi" w:cstheme="majorBidi"/>
          <w:b/>
          <w:bCs/>
          <w:sz w:val="24"/>
          <w:szCs w:val="24"/>
        </w:rPr>
        <w:t>(Figure.I.19)</w:t>
      </w:r>
      <w:r w:rsidRPr="001E3F2C">
        <w:rPr>
          <w:rFonts w:asciiTheme="majorBidi" w:hAnsiTheme="majorBidi" w:cstheme="majorBidi"/>
          <w:i/>
          <w:iCs/>
          <w:sz w:val="24"/>
          <w:szCs w:val="24"/>
        </w:rPr>
        <w:t xml:space="preserve">. </w:t>
      </w:r>
      <w:r w:rsidRPr="001E3F2C">
        <w:rPr>
          <w:rFonts w:asciiTheme="majorBidi" w:hAnsiTheme="majorBidi" w:cstheme="majorBidi"/>
          <w:sz w:val="24"/>
          <w:szCs w:val="24"/>
        </w:rPr>
        <w:t>Les mécanismes par lesquels la protéine de capside modifie l’activité de la MTP ne sont pas élucidés</w:t>
      </w:r>
      <w:r w:rsidRPr="000E16A6">
        <w:rPr>
          <w:rFonts w:ascii="Times New Roman" w:hAnsi="Times New Roman" w:cs="Times New Roman"/>
          <w:sz w:val="24"/>
          <w:szCs w:val="24"/>
        </w:rPr>
        <w:t xml:space="preserve">. </w:t>
      </w:r>
      <w:r w:rsidRPr="001E3F2C">
        <w:rPr>
          <w:rFonts w:asciiTheme="majorBidi" w:hAnsiTheme="majorBidi" w:cstheme="majorBidi"/>
          <w:sz w:val="24"/>
          <w:szCs w:val="24"/>
        </w:rPr>
        <w:t>En contre partie, la protéine de capside</w:t>
      </w:r>
      <w:r>
        <w:rPr>
          <w:rFonts w:asciiTheme="majorBidi" w:hAnsiTheme="majorBidi" w:cstheme="majorBidi"/>
          <w:sz w:val="24"/>
          <w:szCs w:val="24"/>
        </w:rPr>
        <w:t xml:space="preserve"> dans certains génotypes </w:t>
      </w:r>
      <w:r w:rsidRPr="001E3F2C">
        <w:rPr>
          <w:rFonts w:asciiTheme="majorBidi" w:hAnsiTheme="majorBidi" w:cstheme="majorBidi"/>
          <w:sz w:val="24"/>
          <w:szCs w:val="24"/>
        </w:rPr>
        <w:t xml:space="preserve">interagit </w:t>
      </w:r>
      <w:r w:rsidRPr="0092687A">
        <w:rPr>
          <w:rFonts w:asciiTheme="majorBidi" w:hAnsiTheme="majorBidi" w:cstheme="majorBidi"/>
          <w:sz w:val="24"/>
          <w:szCs w:val="24"/>
        </w:rPr>
        <w:t>in vivo et in vitro</w:t>
      </w:r>
      <w:r w:rsidR="007D4B8D">
        <w:rPr>
          <w:rFonts w:asciiTheme="majorBidi" w:hAnsiTheme="majorBidi" w:cstheme="majorBidi"/>
          <w:sz w:val="24"/>
          <w:szCs w:val="24"/>
        </w:rPr>
        <w:t xml:space="preserve"> </w:t>
      </w:r>
      <w:r w:rsidRPr="001E3F2C">
        <w:rPr>
          <w:rFonts w:asciiTheme="majorBidi" w:hAnsiTheme="majorBidi" w:cstheme="majorBidi"/>
          <w:sz w:val="24"/>
          <w:szCs w:val="24"/>
        </w:rPr>
        <w:t>avec l’ApoAII, composante des HDL</w:t>
      </w:r>
      <w:r w:rsidRPr="001E3F2C">
        <w:rPr>
          <w:rFonts w:asciiTheme="majorBidi" w:hAnsiTheme="majorBidi" w:cstheme="majorBidi"/>
          <w:i/>
          <w:iCs/>
          <w:sz w:val="24"/>
          <w:szCs w:val="24"/>
        </w:rPr>
        <w:t xml:space="preserve">. </w:t>
      </w:r>
      <w:r w:rsidRPr="001E3F2C">
        <w:rPr>
          <w:rFonts w:asciiTheme="majorBidi" w:hAnsiTheme="majorBidi" w:cstheme="majorBidi"/>
          <w:sz w:val="24"/>
          <w:szCs w:val="24"/>
        </w:rPr>
        <w:t xml:space="preserve"> Cette association semble limiter l’effet inhibiteur de la</w:t>
      </w:r>
      <w:r w:rsidR="007D4B8D">
        <w:rPr>
          <w:rFonts w:asciiTheme="majorBidi" w:hAnsiTheme="majorBidi" w:cstheme="majorBidi"/>
          <w:sz w:val="24"/>
          <w:szCs w:val="24"/>
        </w:rPr>
        <w:t xml:space="preserve"> </w:t>
      </w:r>
      <w:r w:rsidRPr="001E3F2C">
        <w:rPr>
          <w:rFonts w:asciiTheme="majorBidi" w:hAnsiTheme="majorBidi" w:cstheme="majorBidi"/>
          <w:sz w:val="24"/>
          <w:szCs w:val="24"/>
        </w:rPr>
        <w:t>protéine de capside sur la MTP, en dirigeant la protéine de capside hors de la cellule</w:t>
      </w:r>
      <w:r w:rsidR="007D4B8D">
        <w:rPr>
          <w:rFonts w:asciiTheme="majorBidi" w:hAnsiTheme="majorBidi" w:cstheme="majorBidi"/>
          <w:sz w:val="24"/>
          <w:szCs w:val="24"/>
        </w:rPr>
        <w:t xml:space="preserve"> </w:t>
      </w:r>
      <w:r w:rsidRPr="000E16A6">
        <w:rPr>
          <w:rFonts w:asciiTheme="majorBidi" w:hAnsiTheme="majorBidi" w:cstheme="majorBidi"/>
          <w:b/>
          <w:bCs/>
          <w:sz w:val="24"/>
          <w:szCs w:val="24"/>
        </w:rPr>
        <w:t>(Figure.I.20)</w:t>
      </w:r>
      <w:r w:rsidR="007D4B8D">
        <w:rPr>
          <w:rFonts w:asciiTheme="majorBidi" w:hAnsiTheme="majorBidi" w:cstheme="majorBidi"/>
          <w:b/>
          <w:bCs/>
          <w:sz w:val="24"/>
          <w:szCs w:val="24"/>
        </w:rPr>
        <w:t xml:space="preserve"> (Roingeard, et </w:t>
      </w:r>
      <w:r w:rsidRPr="001E3F2C">
        <w:rPr>
          <w:rFonts w:asciiTheme="majorBidi" w:hAnsiTheme="majorBidi" w:cstheme="majorBidi"/>
          <w:b/>
          <w:bCs/>
          <w:sz w:val="24"/>
          <w:szCs w:val="24"/>
        </w:rPr>
        <w:t>Hourioux, 2007</w:t>
      </w:r>
      <w:r>
        <w:rPr>
          <w:rFonts w:asciiTheme="majorBidi" w:hAnsiTheme="majorBidi" w:cstheme="majorBidi"/>
          <w:b/>
          <w:bCs/>
          <w:sz w:val="24"/>
          <w:szCs w:val="24"/>
        </w:rPr>
        <w:t xml:space="preserve"> ; </w:t>
      </w:r>
      <w:r w:rsidRPr="001E3F2C">
        <w:rPr>
          <w:rFonts w:asciiTheme="majorBidi" w:hAnsiTheme="majorBidi" w:cstheme="majorBidi"/>
          <w:b/>
          <w:bCs/>
          <w:sz w:val="24"/>
          <w:szCs w:val="24"/>
        </w:rPr>
        <w:t>Depla, 2011)</w:t>
      </w:r>
      <w:r>
        <w:rPr>
          <w:rFonts w:asciiTheme="majorBidi" w:hAnsiTheme="majorBidi" w:cstheme="majorBidi"/>
          <w:b/>
          <w:bCs/>
          <w:sz w:val="24"/>
          <w:szCs w:val="24"/>
        </w:rPr>
        <w:t>.</w:t>
      </w:r>
    </w:p>
    <w:p w:rsidR="00FA1DF3" w:rsidRDefault="00FA1DF3" w:rsidP="00FA1DF3">
      <w:pPr>
        <w:autoSpaceDE w:val="0"/>
        <w:autoSpaceDN w:val="0"/>
        <w:adjustRightInd w:val="0"/>
        <w:spacing w:after="0" w:line="360" w:lineRule="auto"/>
        <w:jc w:val="both"/>
        <w:rPr>
          <w:rFonts w:asciiTheme="majorBidi" w:hAnsiTheme="majorBidi" w:cstheme="majorBidi"/>
          <w:b/>
          <w:bCs/>
          <w:sz w:val="24"/>
          <w:szCs w:val="24"/>
        </w:rPr>
      </w:pPr>
    </w:p>
    <w:p w:rsidR="00FA1DF3" w:rsidRPr="00B1611B" w:rsidRDefault="00FA1DF3" w:rsidP="00FA1DF3">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Finalement</w:t>
      </w:r>
      <w:r w:rsidRPr="00B1611B">
        <w:rPr>
          <w:rFonts w:asciiTheme="majorBidi" w:hAnsiTheme="majorBidi" w:cstheme="majorBidi"/>
          <w:sz w:val="24"/>
          <w:szCs w:val="24"/>
        </w:rPr>
        <w:t>, on peut déduire que l'infection par le VHC influe sur la composition biochimique des lipoprotéines et finit par affecter le métabolisme des lipides</w:t>
      </w:r>
      <w:r w:rsidR="00ED3E57">
        <w:rPr>
          <w:rFonts w:asciiTheme="majorBidi" w:hAnsiTheme="majorBidi" w:cstheme="majorBidi"/>
          <w:sz w:val="24"/>
          <w:szCs w:val="24"/>
        </w:rPr>
        <w:t xml:space="preserve"> </w:t>
      </w:r>
      <w:r w:rsidRPr="00F756F4">
        <w:rPr>
          <w:rFonts w:asciiTheme="majorBidi" w:hAnsiTheme="majorBidi" w:cstheme="majorBidi"/>
          <w:b/>
          <w:bCs/>
          <w:sz w:val="24"/>
          <w:szCs w:val="24"/>
        </w:rPr>
        <w:t>(Benbria, 2010).</w:t>
      </w:r>
    </w:p>
    <w:p w:rsidR="00FA1DF3" w:rsidRDefault="00FA1DF3" w:rsidP="00FA1DF3">
      <w:pPr>
        <w:autoSpaceDE w:val="0"/>
        <w:autoSpaceDN w:val="0"/>
        <w:adjustRightInd w:val="0"/>
        <w:spacing w:after="0" w:line="360" w:lineRule="auto"/>
        <w:jc w:val="both"/>
        <w:rPr>
          <w:rFonts w:asciiTheme="majorBidi" w:hAnsiTheme="majorBidi" w:cstheme="majorBidi"/>
          <w:b/>
          <w:bCs/>
          <w:sz w:val="24"/>
          <w:szCs w:val="24"/>
        </w:rPr>
      </w:pPr>
      <w:r w:rsidRPr="000E16A6">
        <w:rPr>
          <w:rFonts w:asciiTheme="majorBidi" w:hAnsiTheme="majorBidi" w:cstheme="majorBidi"/>
          <w:b/>
          <w:bCs/>
          <w:noProof/>
          <w:sz w:val="24"/>
          <w:szCs w:val="24"/>
          <w:lang w:eastAsia="fr-FR"/>
        </w:rPr>
        <w:lastRenderedPageBreak/>
        <w:drawing>
          <wp:anchor distT="0" distB="0" distL="114300" distR="114300" simplePos="0" relativeHeight="251692032" behindDoc="1" locked="0" layoutInCell="1" allowOverlap="1">
            <wp:simplePos x="0" y="0"/>
            <wp:positionH relativeFrom="column">
              <wp:posOffset>337820</wp:posOffset>
            </wp:positionH>
            <wp:positionV relativeFrom="paragraph">
              <wp:posOffset>111760</wp:posOffset>
            </wp:positionV>
            <wp:extent cx="5286375" cy="3362325"/>
            <wp:effectExtent l="0" t="0" r="9525" b="9525"/>
            <wp:wrapTight wrapText="bothSides">
              <wp:wrapPolygon edited="0">
                <wp:start x="0" y="0"/>
                <wp:lineTo x="0" y="21539"/>
                <wp:lineTo x="21561" y="21539"/>
                <wp:lineTo x="21561" y="0"/>
                <wp:lineTo x="0" y="0"/>
              </wp:wrapPolygon>
            </wp:wrapTight>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lum/>
                    </a:blip>
                    <a:srcRect/>
                    <a:stretch>
                      <a:fillRect/>
                    </a:stretch>
                  </pic:blipFill>
                  <pic:spPr bwMode="auto">
                    <a:xfrm>
                      <a:off x="0" y="0"/>
                      <a:ext cx="5286375" cy="3362325"/>
                    </a:xfrm>
                    <a:prstGeom prst="rect">
                      <a:avLst/>
                    </a:prstGeom>
                    <a:noFill/>
                    <a:ln w="9525">
                      <a:noFill/>
                      <a:miter lim="800000"/>
                      <a:headEnd/>
                      <a:tailEnd/>
                    </a:ln>
                  </pic:spPr>
                </pic:pic>
              </a:graphicData>
            </a:graphic>
          </wp:anchor>
        </w:drawing>
      </w:r>
    </w:p>
    <w:p w:rsidR="00FA1DF3" w:rsidRDefault="00FA1DF3" w:rsidP="00FA1DF3">
      <w:pPr>
        <w:pStyle w:val="Default"/>
        <w:spacing w:line="360" w:lineRule="auto"/>
        <w:jc w:val="center"/>
        <w:rPr>
          <w:b/>
          <w:bCs/>
        </w:rPr>
      </w:pPr>
    </w:p>
    <w:p w:rsidR="00FA1DF3" w:rsidRDefault="00FA1DF3" w:rsidP="00FA1DF3">
      <w:pPr>
        <w:pStyle w:val="Default"/>
        <w:spacing w:line="360" w:lineRule="auto"/>
        <w:jc w:val="center"/>
        <w:rPr>
          <w:b/>
          <w:bCs/>
        </w:rPr>
      </w:pPr>
    </w:p>
    <w:p w:rsidR="00FA1DF3" w:rsidRDefault="00FA1DF3" w:rsidP="00FA1DF3">
      <w:pPr>
        <w:pStyle w:val="Default"/>
        <w:spacing w:line="360" w:lineRule="auto"/>
        <w:jc w:val="center"/>
        <w:rPr>
          <w:b/>
          <w:bCs/>
        </w:rPr>
      </w:pPr>
    </w:p>
    <w:p w:rsidR="00FA1DF3" w:rsidRDefault="00FA1DF3" w:rsidP="00FA1DF3">
      <w:pPr>
        <w:pStyle w:val="Default"/>
        <w:spacing w:line="360" w:lineRule="auto"/>
        <w:jc w:val="center"/>
        <w:rPr>
          <w:b/>
          <w:bCs/>
        </w:rPr>
      </w:pPr>
    </w:p>
    <w:p w:rsidR="00FA1DF3" w:rsidRDefault="00FA1DF3" w:rsidP="00FA1DF3">
      <w:pPr>
        <w:pStyle w:val="Default"/>
        <w:spacing w:line="360" w:lineRule="auto"/>
        <w:jc w:val="center"/>
        <w:rPr>
          <w:b/>
          <w:bCs/>
        </w:rPr>
      </w:pPr>
    </w:p>
    <w:p w:rsidR="00FA1DF3" w:rsidRPr="005564BE" w:rsidRDefault="00FA1DF3" w:rsidP="00FA1DF3">
      <w:pPr>
        <w:pStyle w:val="Default"/>
        <w:spacing w:line="360" w:lineRule="auto"/>
        <w:jc w:val="center"/>
      </w:pPr>
      <w:r w:rsidRPr="00A43AE2">
        <w:rPr>
          <w:b/>
          <w:bCs/>
        </w:rPr>
        <w:t>Figure</w:t>
      </w:r>
      <w:r>
        <w:rPr>
          <w:b/>
          <w:bCs/>
        </w:rPr>
        <w:t>.I.19</w:t>
      </w:r>
      <w:r w:rsidRPr="00A43AE2">
        <w:rPr>
          <w:b/>
          <w:bCs/>
        </w:rPr>
        <w:t>.</w:t>
      </w:r>
      <w:r>
        <w:t xml:space="preserve"> Mécanisme hypothétique de l’induction de la stéatose par la protéine de capside par interaction avec le métabolisme lipidique </w:t>
      </w:r>
      <w:r>
        <w:rPr>
          <w:rFonts w:asciiTheme="majorBidi" w:hAnsiTheme="majorBidi" w:cstheme="majorBidi"/>
          <w:b/>
          <w:bCs/>
        </w:rPr>
        <w:t>(Hézode&amp;</w:t>
      </w:r>
      <w:r w:rsidRPr="004D4C1B">
        <w:rPr>
          <w:rFonts w:asciiTheme="majorBidi" w:hAnsiTheme="majorBidi" w:cstheme="majorBidi"/>
          <w:b/>
          <w:bCs/>
        </w:rPr>
        <w:t>Dhumeaux</w:t>
      </w:r>
      <w:r>
        <w:rPr>
          <w:rFonts w:asciiTheme="majorBidi" w:hAnsiTheme="majorBidi" w:cstheme="majorBidi"/>
          <w:b/>
          <w:bCs/>
        </w:rPr>
        <w:t>,</w:t>
      </w:r>
      <w:r w:rsidRPr="00F96E1B">
        <w:rPr>
          <w:rFonts w:asciiTheme="majorBidi" w:hAnsiTheme="majorBidi" w:cstheme="majorBidi"/>
          <w:b/>
          <w:bCs/>
        </w:rPr>
        <w:t xml:space="preserve"> 2003)</w:t>
      </w:r>
    </w:p>
    <w:p w:rsidR="00FA1DF3" w:rsidRDefault="00FA1DF3" w:rsidP="00FA1DF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91008" behindDoc="1" locked="0" layoutInCell="1" allowOverlap="1">
            <wp:simplePos x="0" y="0"/>
            <wp:positionH relativeFrom="column">
              <wp:posOffset>394970</wp:posOffset>
            </wp:positionH>
            <wp:positionV relativeFrom="paragraph">
              <wp:posOffset>120015</wp:posOffset>
            </wp:positionV>
            <wp:extent cx="5381625" cy="3657600"/>
            <wp:effectExtent l="19050" t="0" r="9525" b="0"/>
            <wp:wrapTight wrapText="bothSides">
              <wp:wrapPolygon edited="0">
                <wp:start x="-76" y="0"/>
                <wp:lineTo x="-76" y="21488"/>
                <wp:lineTo x="21638" y="21488"/>
                <wp:lineTo x="21638" y="0"/>
                <wp:lineTo x="-76" y="0"/>
              </wp:wrapPolygon>
            </wp:wrapTight>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lum contrast="10000"/>
                    </a:blip>
                    <a:srcRect t="4425" b="4425"/>
                    <a:stretch>
                      <a:fillRect/>
                    </a:stretch>
                  </pic:blipFill>
                  <pic:spPr bwMode="auto">
                    <a:xfrm>
                      <a:off x="0" y="0"/>
                      <a:ext cx="5381625" cy="3657600"/>
                    </a:xfrm>
                    <a:prstGeom prst="rect">
                      <a:avLst/>
                    </a:prstGeom>
                    <a:noFill/>
                    <a:ln w="9525">
                      <a:noFill/>
                      <a:miter lim="800000"/>
                      <a:headEnd/>
                      <a:tailEnd/>
                    </a:ln>
                  </pic:spPr>
                </pic:pic>
              </a:graphicData>
            </a:graphic>
          </wp:anchor>
        </w:drawing>
      </w: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824C86" w:rsidP="00FA1DF3">
      <w:pPr>
        <w:autoSpaceDE w:val="0"/>
        <w:autoSpaceDN w:val="0"/>
        <w:adjustRightInd w:val="0"/>
        <w:spacing w:after="0" w:line="240" w:lineRule="auto"/>
        <w:rPr>
          <w:rFonts w:asciiTheme="majorBidi" w:hAnsiTheme="majorBidi" w:cstheme="majorBidi"/>
          <w:b/>
          <w:bCs/>
          <w:color w:val="000000"/>
          <w:sz w:val="24"/>
          <w:szCs w:val="24"/>
        </w:rPr>
      </w:pPr>
      <w:r w:rsidRPr="00824C86">
        <w:rPr>
          <w:noProof/>
          <w:lang w:eastAsia="fr-FR"/>
        </w:rPr>
        <w:pict>
          <v:shape id="Zone de texte 51" o:spid="_x0000_s1032" type="#_x0000_t202" style="position:absolute;margin-left:4.85pt;margin-top:2.75pt;width:460.55pt;height:108.7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" stroked="f">
            <v:textbox>
              <w:txbxContent>
                <w:p w:rsidR="006205BC" w:rsidRPr="00E55B32" w:rsidRDefault="006205BC" w:rsidP="00FA1DF3">
                  <w:pPr>
                    <w:autoSpaceDE w:val="0"/>
                    <w:autoSpaceDN w:val="0"/>
                    <w:adjustRightInd w:val="0"/>
                    <w:spacing w:after="0" w:line="240" w:lineRule="auto"/>
                    <w:jc w:val="center"/>
                    <w:rPr>
                      <w:rFonts w:asciiTheme="majorBidi" w:hAnsiTheme="majorBidi" w:cstheme="majorBidi"/>
                      <w:b/>
                      <w:bCs/>
                      <w:sz w:val="24"/>
                      <w:szCs w:val="24"/>
                    </w:rPr>
                  </w:pPr>
                  <w:r w:rsidRPr="00663AEB">
                    <w:rPr>
                      <w:rFonts w:ascii="Times New Roman" w:hAnsi="Times New Roman" w:cs="Times New Roman"/>
                      <w:b/>
                      <w:bCs/>
                      <w:sz w:val="24"/>
                      <w:szCs w:val="24"/>
                    </w:rPr>
                    <w:t>Fig</w:t>
                  </w:r>
                  <w:r>
                    <w:rPr>
                      <w:rFonts w:ascii="Times New Roman" w:hAnsi="Times New Roman" w:cs="Times New Roman"/>
                      <w:b/>
                      <w:bCs/>
                      <w:sz w:val="24"/>
                      <w:szCs w:val="24"/>
                    </w:rPr>
                    <w:t>ure I</w:t>
                  </w:r>
                  <w:r w:rsidRPr="00663AEB">
                    <w:rPr>
                      <w:rFonts w:ascii="Times New Roman" w:hAnsi="Times New Roman" w:cs="Times New Roman"/>
                      <w:b/>
                      <w:bCs/>
                      <w:sz w:val="24"/>
                      <w:szCs w:val="24"/>
                    </w:rPr>
                    <w:t>.</w:t>
                  </w:r>
                  <w:r>
                    <w:rPr>
                      <w:rFonts w:ascii="Times New Roman" w:hAnsi="Times New Roman" w:cs="Times New Roman"/>
                      <w:b/>
                      <w:bCs/>
                      <w:sz w:val="24"/>
                      <w:szCs w:val="24"/>
                    </w:rPr>
                    <w:t>20.</w:t>
                  </w:r>
                  <w:r w:rsidRPr="00663AEB">
                    <w:rPr>
                      <w:rFonts w:ascii="Times New Roman" w:hAnsi="Times New Roman" w:cs="Times New Roman"/>
                      <w:b/>
                      <w:bCs/>
                      <w:sz w:val="24"/>
                      <w:szCs w:val="24"/>
                    </w:rPr>
                    <w:t> </w:t>
                  </w:r>
                  <w:r w:rsidRPr="00191940">
                    <w:rPr>
                      <w:rFonts w:asciiTheme="majorBidi" w:hAnsiTheme="majorBidi" w:cstheme="majorBidi"/>
                      <w:sz w:val="24"/>
                      <w:szCs w:val="24"/>
                    </w:rPr>
                    <w:t xml:space="preserve">Modèle d’assemblage et de sécrétion des particules virales du VHCLa protéine core s’associe aux gouttelettes lipidiques et interagit avec les complexes multi protéiques formes par les protéines non-structurales (NPC) localisées a la surface du RE. Cet environnement, riche en gouttelettes lipidiques, est le lieu de formation des VLDL. La synthèse des particules virales infectieuses, de basse densité, se fait par cooptation de la voie de synthèse des VLDL. Les particules non associées aux VLDL, plus denses, sont également secrétées mais ne </w:t>
                  </w:r>
                  <w:r>
                    <w:rPr>
                      <w:rFonts w:asciiTheme="majorBidi" w:hAnsiTheme="majorBidi" w:cstheme="majorBidi"/>
                      <w:sz w:val="24"/>
                      <w:szCs w:val="24"/>
                    </w:rPr>
                    <w:t xml:space="preserve">seront pas infectieuses </w:t>
                  </w:r>
                  <w:r w:rsidRPr="00D40E9D">
                    <w:rPr>
                      <w:rFonts w:ascii="Times New Roman" w:hAnsi="Times New Roman" w:cs="Times New Roman"/>
                      <w:b/>
                      <w:bCs/>
                      <w:sz w:val="24"/>
                      <w:szCs w:val="24"/>
                    </w:rPr>
                    <w:t>(</w:t>
                  </w:r>
                  <w:r>
                    <w:rPr>
                      <w:rFonts w:asciiTheme="majorBidi" w:hAnsiTheme="majorBidi" w:cstheme="majorBidi"/>
                      <w:b/>
                      <w:bCs/>
                      <w:sz w:val="24"/>
                      <w:szCs w:val="24"/>
                    </w:rPr>
                    <w:t>Krieger, 2009)</w:t>
                  </w:r>
                </w:p>
              </w:txbxContent>
            </v:textbox>
          </v:shape>
        </w:pict>
      </w: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Default="00FA1DF3" w:rsidP="00A21FB0">
      <w:pPr>
        <w:pStyle w:val="Paragraphedeliste"/>
        <w:numPr>
          <w:ilvl w:val="0"/>
          <w:numId w:val="47"/>
        </w:numPr>
        <w:autoSpaceDE w:val="0"/>
        <w:autoSpaceDN w:val="0"/>
        <w:adjustRightInd w:val="0"/>
        <w:spacing w:after="0" w:line="240" w:lineRule="auto"/>
        <w:rPr>
          <w:rFonts w:asciiTheme="majorBidi" w:hAnsiTheme="majorBidi" w:cstheme="majorBidi"/>
          <w:b/>
          <w:bCs/>
          <w:color w:val="000000"/>
          <w:sz w:val="24"/>
          <w:szCs w:val="24"/>
        </w:rPr>
      </w:pPr>
      <w:r w:rsidRPr="00860A0C">
        <w:rPr>
          <w:rFonts w:asciiTheme="majorBidi" w:hAnsiTheme="majorBidi" w:cstheme="majorBidi"/>
          <w:b/>
          <w:bCs/>
          <w:color w:val="000000"/>
          <w:sz w:val="24"/>
          <w:szCs w:val="24"/>
        </w:rPr>
        <w:lastRenderedPageBreak/>
        <w:t xml:space="preserve">L’interaction avec la réplication du VHC </w:t>
      </w:r>
    </w:p>
    <w:p w:rsidR="00FA1DF3" w:rsidRDefault="00FA1DF3" w:rsidP="00FA1DF3">
      <w:pPr>
        <w:autoSpaceDE w:val="0"/>
        <w:autoSpaceDN w:val="0"/>
        <w:adjustRightInd w:val="0"/>
        <w:spacing w:after="0" w:line="240" w:lineRule="auto"/>
        <w:rPr>
          <w:rFonts w:asciiTheme="majorBidi" w:hAnsiTheme="majorBidi" w:cstheme="majorBidi"/>
          <w:b/>
          <w:bCs/>
          <w:color w:val="000000"/>
          <w:sz w:val="24"/>
          <w:szCs w:val="24"/>
        </w:rPr>
      </w:pPr>
    </w:p>
    <w:p w:rsidR="00FA1DF3" w:rsidRPr="00860A0C" w:rsidRDefault="00ED3E57" w:rsidP="00FA1DF3">
      <w:pPr>
        <w:autoSpaceDE w:val="0"/>
        <w:autoSpaceDN w:val="0"/>
        <w:adjustRightInd w:val="0"/>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   </w:t>
      </w:r>
      <w:r w:rsidR="00FA1DF3">
        <w:rPr>
          <w:rFonts w:asciiTheme="majorBidi" w:hAnsiTheme="majorBidi" w:cstheme="majorBidi"/>
          <w:sz w:val="24"/>
          <w:szCs w:val="24"/>
        </w:rPr>
        <w:t xml:space="preserve">La </w:t>
      </w:r>
      <w:r w:rsidR="00FA1DF3" w:rsidRPr="00860A0C">
        <w:rPr>
          <w:rFonts w:asciiTheme="majorBidi" w:hAnsiTheme="majorBidi" w:cstheme="majorBidi"/>
          <w:sz w:val="24"/>
          <w:szCs w:val="24"/>
        </w:rPr>
        <w:t xml:space="preserve">réplication de l’ARN du VHC </w:t>
      </w:r>
      <w:r w:rsidR="00FA1DF3" w:rsidRPr="00842A76">
        <w:rPr>
          <w:rFonts w:asciiTheme="majorBidi" w:hAnsiTheme="majorBidi" w:cstheme="majorBidi"/>
          <w:sz w:val="24"/>
          <w:szCs w:val="24"/>
        </w:rPr>
        <w:t>exige</w:t>
      </w:r>
      <w:r w:rsidR="007D4B8D">
        <w:rPr>
          <w:rFonts w:asciiTheme="majorBidi" w:hAnsiTheme="majorBidi" w:cstheme="majorBidi"/>
          <w:sz w:val="24"/>
          <w:szCs w:val="24"/>
        </w:rPr>
        <w:t xml:space="preserve"> </w:t>
      </w:r>
      <w:r w:rsidR="00FA1DF3" w:rsidRPr="00860A0C">
        <w:rPr>
          <w:rFonts w:asciiTheme="majorBidi" w:hAnsiTheme="majorBidi" w:cstheme="majorBidi"/>
          <w:sz w:val="24"/>
          <w:szCs w:val="24"/>
        </w:rPr>
        <w:t>l’intégrité de la voie de</w:t>
      </w:r>
      <w:r w:rsidR="00FA1DF3">
        <w:rPr>
          <w:rFonts w:asciiTheme="majorBidi" w:hAnsiTheme="majorBidi" w:cstheme="majorBidi"/>
          <w:sz w:val="24"/>
          <w:szCs w:val="24"/>
        </w:rPr>
        <w:t xml:space="preserve"> synthèse du Mé</w:t>
      </w:r>
      <w:r w:rsidR="00FA1DF3" w:rsidRPr="00860A0C">
        <w:rPr>
          <w:rFonts w:asciiTheme="majorBidi" w:hAnsiTheme="majorBidi" w:cstheme="majorBidi"/>
          <w:sz w:val="24"/>
          <w:szCs w:val="24"/>
        </w:rPr>
        <w:t>valonate</w:t>
      </w:r>
      <w:r w:rsidR="00FA1DF3">
        <w:rPr>
          <w:rFonts w:asciiTheme="majorBidi" w:hAnsiTheme="majorBidi" w:cstheme="majorBidi"/>
          <w:sz w:val="24"/>
          <w:szCs w:val="24"/>
        </w:rPr>
        <w:t xml:space="preserve"> qui est nécessaire pour la réplication du VHC donnant, à la fois un produit </w:t>
      </w:r>
      <w:r w:rsidR="00FA1DF3" w:rsidRPr="00B56E3A">
        <w:rPr>
          <w:rFonts w:asciiTheme="majorBidi" w:hAnsiTheme="majorBidi" w:cstheme="majorBidi"/>
          <w:sz w:val="24"/>
          <w:szCs w:val="24"/>
        </w:rPr>
        <w:t>géranylgéranyle est un lipide</w:t>
      </w:r>
      <w:r w:rsidR="007D4B8D">
        <w:rPr>
          <w:rFonts w:asciiTheme="majorBidi" w:hAnsiTheme="majorBidi" w:cstheme="majorBidi"/>
          <w:sz w:val="24"/>
          <w:szCs w:val="24"/>
        </w:rPr>
        <w:t xml:space="preserve"> </w:t>
      </w:r>
      <w:r w:rsidR="00FA1DF3">
        <w:rPr>
          <w:rFonts w:asciiTheme="majorBidi" w:hAnsiTheme="majorBidi" w:cstheme="majorBidi"/>
          <w:sz w:val="24"/>
          <w:szCs w:val="24"/>
        </w:rPr>
        <w:t>important pour la réplication</w:t>
      </w:r>
      <w:r w:rsidR="00FA1DF3" w:rsidRPr="00860A0C">
        <w:rPr>
          <w:rFonts w:asciiTheme="majorBidi" w:hAnsiTheme="majorBidi" w:cstheme="majorBidi"/>
          <w:sz w:val="24"/>
          <w:szCs w:val="24"/>
        </w:rPr>
        <w:t>. En effet, le traitement de cultures cellulaires du VHC avec la lovastatine,</w:t>
      </w:r>
      <w:r w:rsidR="007D4B8D">
        <w:rPr>
          <w:rFonts w:asciiTheme="majorBidi" w:hAnsiTheme="majorBidi" w:cstheme="majorBidi"/>
          <w:sz w:val="24"/>
          <w:szCs w:val="24"/>
        </w:rPr>
        <w:t xml:space="preserve"> </w:t>
      </w:r>
      <w:r w:rsidR="00FA1DF3" w:rsidRPr="002C6C15">
        <w:rPr>
          <w:rFonts w:asciiTheme="majorBidi" w:hAnsiTheme="majorBidi" w:cstheme="majorBidi"/>
          <w:sz w:val="24"/>
          <w:szCs w:val="24"/>
        </w:rPr>
        <w:t>un</w:t>
      </w:r>
      <w:r w:rsidR="00FA1DF3">
        <w:rPr>
          <w:rFonts w:asciiTheme="majorBidi" w:hAnsiTheme="majorBidi" w:cstheme="majorBidi"/>
          <w:sz w:val="24"/>
          <w:szCs w:val="24"/>
        </w:rPr>
        <w:t xml:space="preserve"> médicament anti-cholestérol</w:t>
      </w:r>
      <w:r w:rsidR="00FA1DF3" w:rsidRPr="002C6C15">
        <w:rPr>
          <w:rFonts w:asciiTheme="majorBidi" w:hAnsiTheme="majorBidi" w:cstheme="majorBidi"/>
          <w:sz w:val="24"/>
          <w:szCs w:val="24"/>
        </w:rPr>
        <w:t xml:space="preserve"> inhibe la coenzyme 3-hydroxy-3-méthylglutaryl A (HMG CoA) réductase</w:t>
      </w:r>
      <w:r w:rsidR="007D4B8D">
        <w:rPr>
          <w:rFonts w:asciiTheme="majorBidi" w:hAnsiTheme="majorBidi" w:cstheme="majorBidi"/>
          <w:sz w:val="24"/>
          <w:szCs w:val="24"/>
        </w:rPr>
        <w:t xml:space="preserve"> </w:t>
      </w:r>
      <w:r w:rsidR="00FA1DF3" w:rsidRPr="00860A0C">
        <w:rPr>
          <w:rFonts w:asciiTheme="majorBidi" w:hAnsiTheme="majorBidi" w:cstheme="majorBidi"/>
          <w:sz w:val="24"/>
          <w:szCs w:val="24"/>
        </w:rPr>
        <w:t xml:space="preserve">qui intervient dans la biosynthèse du </w:t>
      </w:r>
      <w:r w:rsidR="00FA1DF3">
        <w:rPr>
          <w:rFonts w:asciiTheme="majorBidi" w:hAnsiTheme="majorBidi" w:cstheme="majorBidi"/>
          <w:sz w:val="24"/>
          <w:szCs w:val="24"/>
        </w:rPr>
        <w:t>Mé</w:t>
      </w:r>
      <w:r w:rsidR="00FA1DF3" w:rsidRPr="00860A0C">
        <w:rPr>
          <w:rFonts w:asciiTheme="majorBidi" w:hAnsiTheme="majorBidi" w:cstheme="majorBidi"/>
          <w:sz w:val="24"/>
          <w:szCs w:val="24"/>
        </w:rPr>
        <w:t>valonate, entraine l’inhibition de la réplication de l’ARN viral, qui est restaurée par</w:t>
      </w:r>
      <w:r w:rsidR="007D4B8D">
        <w:rPr>
          <w:rFonts w:asciiTheme="majorBidi" w:hAnsiTheme="majorBidi" w:cstheme="majorBidi"/>
          <w:sz w:val="24"/>
          <w:szCs w:val="24"/>
        </w:rPr>
        <w:t xml:space="preserve"> </w:t>
      </w:r>
      <w:r w:rsidR="00FA1DF3" w:rsidRPr="00860A0C">
        <w:rPr>
          <w:rFonts w:asciiTheme="majorBidi" w:hAnsiTheme="majorBidi" w:cstheme="majorBidi"/>
          <w:sz w:val="24"/>
          <w:szCs w:val="24"/>
        </w:rPr>
        <w:t>l’</w:t>
      </w:r>
      <w:r w:rsidR="00FA1DF3">
        <w:rPr>
          <w:rFonts w:asciiTheme="majorBidi" w:hAnsiTheme="majorBidi" w:cstheme="majorBidi"/>
          <w:sz w:val="24"/>
          <w:szCs w:val="24"/>
        </w:rPr>
        <w:t>ajout de géranylgé</w:t>
      </w:r>
      <w:r w:rsidR="00FA1DF3" w:rsidRPr="00860A0C">
        <w:rPr>
          <w:rFonts w:asciiTheme="majorBidi" w:hAnsiTheme="majorBidi" w:cstheme="majorBidi"/>
          <w:sz w:val="24"/>
          <w:szCs w:val="24"/>
        </w:rPr>
        <w:t xml:space="preserve">raniol. Des résultats </w:t>
      </w:r>
      <w:r w:rsidR="00FA1DF3" w:rsidRPr="00FF2359">
        <w:rPr>
          <w:rFonts w:asciiTheme="majorBidi" w:hAnsiTheme="majorBidi" w:cstheme="majorBidi"/>
          <w:sz w:val="24"/>
          <w:szCs w:val="24"/>
        </w:rPr>
        <w:t xml:space="preserve">conformes </w:t>
      </w:r>
      <w:r w:rsidR="00FA1DF3" w:rsidRPr="00860A0C">
        <w:rPr>
          <w:rFonts w:asciiTheme="majorBidi" w:hAnsiTheme="majorBidi" w:cstheme="majorBidi"/>
          <w:sz w:val="24"/>
          <w:szCs w:val="24"/>
        </w:rPr>
        <w:t>ont été retrouvés par</w:t>
      </w:r>
      <w:r w:rsidR="007D4B8D">
        <w:rPr>
          <w:rFonts w:asciiTheme="majorBidi" w:hAnsiTheme="majorBidi" w:cstheme="majorBidi"/>
          <w:sz w:val="24"/>
          <w:szCs w:val="24"/>
        </w:rPr>
        <w:t xml:space="preserve"> </w:t>
      </w:r>
      <w:r w:rsidR="00FA1DF3" w:rsidRPr="00860A0C">
        <w:rPr>
          <w:rFonts w:asciiTheme="majorBidi" w:hAnsiTheme="majorBidi" w:cstheme="majorBidi"/>
          <w:sz w:val="24"/>
          <w:szCs w:val="24"/>
        </w:rPr>
        <w:t>d’autres équipes. De plus, FBL2 (F-box andleucine-richrepeatprotein 2) qui appartient à une famille de protéines intervenant dans les</w:t>
      </w:r>
      <w:r w:rsidR="007D4B8D">
        <w:rPr>
          <w:rFonts w:asciiTheme="majorBidi" w:hAnsiTheme="majorBidi" w:cstheme="majorBidi"/>
          <w:sz w:val="24"/>
          <w:szCs w:val="24"/>
        </w:rPr>
        <w:t xml:space="preserve"> </w:t>
      </w:r>
      <w:r w:rsidR="00FA1DF3" w:rsidRPr="00860A0C">
        <w:rPr>
          <w:rFonts w:asciiTheme="majorBidi" w:hAnsiTheme="majorBidi" w:cstheme="majorBidi"/>
          <w:sz w:val="24"/>
          <w:szCs w:val="24"/>
        </w:rPr>
        <w:t>processus d’ubiquitination, fut identifiée comme un interactant</w:t>
      </w:r>
      <w:r w:rsidR="007D4B8D">
        <w:rPr>
          <w:rFonts w:asciiTheme="majorBidi" w:hAnsiTheme="majorBidi" w:cstheme="majorBidi"/>
          <w:sz w:val="24"/>
          <w:szCs w:val="24"/>
        </w:rPr>
        <w:t xml:space="preserve"> </w:t>
      </w:r>
      <w:r w:rsidR="00FA1DF3" w:rsidRPr="00860A0C">
        <w:rPr>
          <w:rFonts w:asciiTheme="majorBidi" w:hAnsiTheme="majorBidi" w:cstheme="majorBidi"/>
          <w:sz w:val="24"/>
          <w:szCs w:val="24"/>
        </w:rPr>
        <w:t>geranylgeranylé de NS5Arequis pour la réplication de l’ARN viral</w:t>
      </w:r>
      <w:r>
        <w:rPr>
          <w:rFonts w:asciiTheme="majorBidi" w:hAnsiTheme="majorBidi" w:cstheme="majorBidi"/>
          <w:sz w:val="24"/>
          <w:szCs w:val="24"/>
        </w:rPr>
        <w:t xml:space="preserve"> </w:t>
      </w:r>
      <w:r w:rsidR="00FA1DF3">
        <w:rPr>
          <w:rFonts w:asciiTheme="majorBidi" w:hAnsiTheme="majorBidi" w:cstheme="majorBidi"/>
          <w:b/>
          <w:bCs/>
          <w:sz w:val="24"/>
          <w:szCs w:val="24"/>
        </w:rPr>
        <w:t>(</w:t>
      </w:r>
      <w:r w:rsidR="00FA1DF3" w:rsidRPr="00345C79">
        <w:rPr>
          <w:rFonts w:asciiTheme="majorBidi" w:hAnsiTheme="majorBidi" w:cstheme="majorBidi"/>
          <w:b/>
          <w:bCs/>
          <w:sz w:val="24"/>
          <w:szCs w:val="24"/>
        </w:rPr>
        <w:t>Wagane J</w:t>
      </w:r>
      <w:r w:rsidR="00FA1DF3">
        <w:rPr>
          <w:rFonts w:asciiTheme="majorBidi" w:hAnsiTheme="majorBidi" w:cstheme="majorBidi"/>
          <w:b/>
          <w:bCs/>
          <w:sz w:val="24"/>
          <w:szCs w:val="24"/>
        </w:rPr>
        <w:t xml:space="preserve"> et </w:t>
      </w:r>
      <w:r w:rsidR="00FA1DF3" w:rsidRPr="00345C79">
        <w:rPr>
          <w:rFonts w:asciiTheme="majorBidi" w:hAnsiTheme="majorBidi" w:cstheme="majorBidi"/>
          <w:b/>
          <w:bCs/>
          <w:sz w:val="24"/>
          <w:szCs w:val="24"/>
        </w:rPr>
        <w:t>Benga</w:t>
      </w:r>
      <w:r w:rsidR="00FA1DF3" w:rsidRPr="008B6259">
        <w:rPr>
          <w:rFonts w:asciiTheme="majorBidi" w:hAnsiTheme="majorBidi" w:cstheme="majorBidi"/>
          <w:b/>
          <w:bCs/>
          <w:sz w:val="24"/>
          <w:szCs w:val="24"/>
        </w:rPr>
        <w:t>, 2008</w:t>
      </w:r>
      <w:r w:rsidR="00FA1DF3">
        <w:rPr>
          <w:rFonts w:asciiTheme="majorBidi" w:hAnsiTheme="majorBidi" w:cstheme="majorBidi"/>
          <w:b/>
          <w:bCs/>
          <w:sz w:val="24"/>
          <w:szCs w:val="24"/>
        </w:rPr>
        <w:t xml:space="preserve"> ; </w:t>
      </w:r>
      <w:r w:rsidR="00FA1DF3" w:rsidRPr="00031EC9">
        <w:rPr>
          <w:rFonts w:asciiTheme="majorBidi" w:hAnsiTheme="majorBidi" w:cstheme="majorBidi"/>
          <w:b/>
          <w:bCs/>
          <w:sz w:val="24"/>
          <w:szCs w:val="24"/>
        </w:rPr>
        <w:t>Benbria, 2010</w:t>
      </w:r>
      <w:r w:rsidR="00FA1DF3" w:rsidRPr="008B6259">
        <w:rPr>
          <w:rFonts w:asciiTheme="majorBidi" w:hAnsiTheme="majorBidi" w:cstheme="majorBidi"/>
          <w:b/>
          <w:bCs/>
          <w:sz w:val="24"/>
          <w:szCs w:val="24"/>
        </w:rPr>
        <w:t>)</w:t>
      </w:r>
      <w:r w:rsidR="00FA1DF3">
        <w:rPr>
          <w:rFonts w:asciiTheme="majorBidi" w:hAnsiTheme="majorBidi" w:cstheme="majorBidi"/>
          <w:b/>
          <w:bCs/>
          <w:sz w:val="24"/>
          <w:szCs w:val="24"/>
        </w:rPr>
        <w:t>.</w:t>
      </w:r>
    </w:p>
    <w:p w:rsidR="00FA1DF3" w:rsidRDefault="00FA1DF3">
      <w:pPr>
        <w:rPr>
          <w:rFonts w:ascii="Century Schoolbook" w:hAnsi="Century Schoolbook"/>
        </w:rPr>
        <w:sectPr w:rsidR="00FA1DF3" w:rsidSect="007E17D9">
          <w:headerReference w:type="default" r:id="rId47"/>
          <w:footerReference w:type="default" r:id="rId48"/>
          <w:pgSz w:w="11906" w:h="16838"/>
          <w:pgMar w:top="1134" w:right="1134" w:bottom="1134" w:left="1418" w:header="397" w:footer="680" w:gutter="0"/>
          <w:pgNumType w:start="3"/>
          <w:cols w:space="708"/>
          <w:docGrid w:linePitch="360"/>
        </w:sectPr>
      </w:pPr>
    </w:p>
    <w:p w:rsidR="00C91FA9" w:rsidRDefault="00C91FA9" w:rsidP="00C91FA9">
      <w:pPr>
        <w:jc w:val="center"/>
        <w:rPr>
          <w:rFonts w:asciiTheme="majorBidi" w:hAnsiTheme="majorBidi" w:cs="Times New Roman"/>
          <w:b/>
          <w:bCs/>
          <w:i/>
          <w:iCs/>
          <w:color w:val="7030A0"/>
          <w:sz w:val="72"/>
          <w:szCs w:val="72"/>
        </w:rPr>
      </w:pPr>
    </w:p>
    <w:p w:rsidR="00C91FA9" w:rsidRDefault="00C91FA9" w:rsidP="00C91FA9">
      <w:pPr>
        <w:jc w:val="center"/>
        <w:rPr>
          <w:rFonts w:asciiTheme="majorBidi" w:hAnsiTheme="majorBidi" w:cs="Times New Roman"/>
          <w:b/>
          <w:bCs/>
          <w:i/>
          <w:iCs/>
          <w:color w:val="7030A0"/>
          <w:sz w:val="72"/>
          <w:szCs w:val="72"/>
        </w:rPr>
      </w:pPr>
    </w:p>
    <w:p w:rsidR="00C91FA9" w:rsidRDefault="00C91FA9" w:rsidP="00C91FA9">
      <w:pPr>
        <w:jc w:val="center"/>
        <w:rPr>
          <w:rFonts w:asciiTheme="majorBidi" w:hAnsiTheme="majorBidi" w:cs="Times New Roman"/>
          <w:b/>
          <w:bCs/>
          <w:i/>
          <w:iCs/>
          <w:color w:val="7030A0"/>
          <w:sz w:val="72"/>
          <w:szCs w:val="72"/>
        </w:rPr>
      </w:pPr>
    </w:p>
    <w:p w:rsidR="00C91FA9" w:rsidRDefault="00C91FA9" w:rsidP="00C91FA9">
      <w:pPr>
        <w:jc w:val="center"/>
        <w:rPr>
          <w:rFonts w:asciiTheme="majorBidi" w:hAnsiTheme="majorBidi" w:cs="Times New Roman"/>
          <w:b/>
          <w:bCs/>
          <w:i/>
          <w:iCs/>
          <w:color w:val="7030A0"/>
          <w:sz w:val="72"/>
          <w:szCs w:val="72"/>
        </w:rPr>
      </w:pPr>
    </w:p>
    <w:p w:rsidR="00C91FA9" w:rsidRDefault="00C91FA9" w:rsidP="00C91FA9">
      <w:pPr>
        <w:jc w:val="center"/>
        <w:rPr>
          <w:rFonts w:asciiTheme="majorBidi" w:hAnsiTheme="majorBidi" w:cs="Times New Roman"/>
          <w:b/>
          <w:bCs/>
          <w:i/>
          <w:iCs/>
          <w:color w:val="7030A0"/>
          <w:sz w:val="72"/>
          <w:szCs w:val="72"/>
        </w:rPr>
      </w:pPr>
    </w:p>
    <w:p w:rsidR="00DC664D" w:rsidRPr="00C91FA9" w:rsidRDefault="00C91FA9" w:rsidP="00C91FA9">
      <w:pPr>
        <w:jc w:val="center"/>
        <w:rPr>
          <w:rFonts w:ascii="Century Schoolbook" w:hAnsi="Century Schoolbook"/>
          <w:b/>
          <w:bCs/>
          <w:sz w:val="72"/>
          <w:szCs w:val="72"/>
        </w:rPr>
        <w:sectPr w:rsidR="00DC664D" w:rsidRPr="00C91FA9" w:rsidSect="007E17D9">
          <w:headerReference w:type="default" r:id="rId49"/>
          <w:footerReference w:type="default" r:id="rId50"/>
          <w:pgSz w:w="11906" w:h="16838"/>
          <w:pgMar w:top="1134" w:right="1134" w:bottom="1134" w:left="1418" w:header="397" w:footer="680" w:gutter="0"/>
          <w:pgNumType w:start="3"/>
          <w:cols w:space="708"/>
          <w:docGrid w:linePitch="360"/>
        </w:sectPr>
      </w:pPr>
      <w:r>
        <w:rPr>
          <w:rFonts w:asciiTheme="majorBidi" w:hAnsiTheme="majorBidi" w:cs="Times New Roman"/>
          <w:b/>
          <w:bCs/>
          <w:i/>
          <w:iCs/>
          <w:color w:val="7030A0"/>
          <w:sz w:val="72"/>
          <w:szCs w:val="72"/>
        </w:rPr>
        <w:t>M</w:t>
      </w:r>
      <w:r w:rsidRPr="00C91FA9">
        <w:rPr>
          <w:rFonts w:asciiTheme="majorBidi" w:hAnsiTheme="majorBidi" w:cs="Times New Roman"/>
          <w:b/>
          <w:bCs/>
          <w:i/>
          <w:iCs/>
          <w:color w:val="7030A0"/>
          <w:sz w:val="72"/>
          <w:szCs w:val="72"/>
        </w:rPr>
        <w:t>atériels et méthodes</w:t>
      </w:r>
    </w:p>
    <w:p w:rsidR="00DC664D" w:rsidRPr="00E6415C" w:rsidRDefault="00DC664D" w:rsidP="00A21FB0">
      <w:pPr>
        <w:numPr>
          <w:ilvl w:val="0"/>
          <w:numId w:val="8"/>
        </w:numPr>
        <w:spacing w:line="360" w:lineRule="auto"/>
        <w:contextualSpacing/>
        <w:rPr>
          <w:rFonts w:asciiTheme="majorBidi" w:hAnsiTheme="majorBidi" w:cs="Times New Roman"/>
          <w:b/>
          <w:bCs/>
          <w:color w:val="7030A0"/>
          <w:sz w:val="28"/>
          <w:szCs w:val="28"/>
        </w:rPr>
      </w:pPr>
      <w:r w:rsidRPr="00E6415C">
        <w:rPr>
          <w:rFonts w:asciiTheme="majorBidi" w:hAnsiTheme="majorBidi" w:cs="Times New Roman"/>
          <w:b/>
          <w:bCs/>
          <w:color w:val="7030A0"/>
          <w:sz w:val="28"/>
          <w:szCs w:val="28"/>
        </w:rPr>
        <w:lastRenderedPageBreak/>
        <w:t>Objectif de l’étude </w:t>
      </w:r>
    </w:p>
    <w:p w:rsidR="00DC664D" w:rsidRPr="00551628" w:rsidRDefault="00DC664D" w:rsidP="00DC664D">
      <w:pPr>
        <w:spacing w:line="360" w:lineRule="auto"/>
        <w:ind w:firstLine="360"/>
        <w:rPr>
          <w:rFonts w:asciiTheme="majorBidi" w:hAnsiTheme="majorBidi" w:cs="Times New Roman"/>
          <w:sz w:val="24"/>
          <w:szCs w:val="24"/>
        </w:rPr>
      </w:pPr>
      <w:r w:rsidRPr="00551628">
        <w:rPr>
          <w:rFonts w:asciiTheme="majorBidi" w:hAnsiTheme="majorBidi" w:cs="Times New Roman"/>
          <w:sz w:val="24"/>
          <w:szCs w:val="24"/>
        </w:rPr>
        <w:t xml:space="preserve">Comparer le profil lipidique chez des porteurs chroniques du VHC à celui des témoins sains dans notre région de Tébessa. </w:t>
      </w:r>
    </w:p>
    <w:p w:rsidR="00DC664D" w:rsidRPr="00E6415C" w:rsidRDefault="00DC664D" w:rsidP="00DC664D">
      <w:pPr>
        <w:spacing w:line="360" w:lineRule="auto"/>
        <w:jc w:val="both"/>
        <w:rPr>
          <w:rFonts w:asciiTheme="majorBidi" w:hAnsiTheme="majorBidi" w:cs="Times New Roman"/>
          <w:b/>
          <w:bCs/>
          <w:color w:val="7030A0"/>
          <w:sz w:val="28"/>
          <w:szCs w:val="28"/>
        </w:rPr>
      </w:pPr>
      <w:r w:rsidRPr="00E6415C">
        <w:rPr>
          <w:rFonts w:asciiTheme="majorBidi" w:hAnsiTheme="majorBidi" w:cs="Times New Roman"/>
          <w:b/>
          <w:bCs/>
          <w:color w:val="7030A0"/>
          <w:sz w:val="28"/>
          <w:szCs w:val="28"/>
        </w:rPr>
        <w:t xml:space="preserve">2. Lieu </w:t>
      </w:r>
      <w:r>
        <w:rPr>
          <w:rFonts w:asciiTheme="majorBidi" w:hAnsiTheme="majorBidi" w:cs="Times New Roman"/>
          <w:b/>
          <w:bCs/>
          <w:color w:val="7030A0"/>
          <w:sz w:val="28"/>
          <w:szCs w:val="28"/>
        </w:rPr>
        <w:t>et période d’</w:t>
      </w:r>
      <w:r w:rsidRPr="00E6415C">
        <w:rPr>
          <w:rFonts w:asciiTheme="majorBidi" w:hAnsiTheme="majorBidi" w:cs="Times New Roman"/>
          <w:b/>
          <w:bCs/>
          <w:color w:val="7030A0"/>
          <w:sz w:val="28"/>
          <w:szCs w:val="28"/>
        </w:rPr>
        <w:t>étude</w:t>
      </w:r>
    </w:p>
    <w:p w:rsidR="00DC664D" w:rsidRPr="00551628" w:rsidRDefault="00DC664D" w:rsidP="00DC664D">
      <w:pPr>
        <w:spacing w:line="360" w:lineRule="auto"/>
        <w:contextualSpacing/>
        <w:jc w:val="both"/>
        <w:rPr>
          <w:rFonts w:asciiTheme="majorBidi" w:hAnsiTheme="majorBidi" w:cs="Times New Roman"/>
          <w:bCs/>
          <w:sz w:val="24"/>
          <w:szCs w:val="24"/>
        </w:rPr>
      </w:pPr>
      <w:r w:rsidRPr="00551628">
        <w:rPr>
          <w:rFonts w:asciiTheme="majorBidi" w:hAnsiTheme="majorBidi" w:cs="Times New Roman"/>
          <w:bCs/>
          <w:sz w:val="24"/>
          <w:szCs w:val="24"/>
        </w:rPr>
        <w:t>L’enquête clinique et comparative a été réalisée du  16/01/2016  au 14/04/2016 au niveau de :</w:t>
      </w:r>
    </w:p>
    <w:p w:rsidR="00DC664D" w:rsidRPr="0053469F" w:rsidRDefault="00DC664D" w:rsidP="00A21FB0">
      <w:pPr>
        <w:pStyle w:val="Paragraphedeliste"/>
        <w:numPr>
          <w:ilvl w:val="0"/>
          <w:numId w:val="9"/>
        </w:numPr>
        <w:spacing w:after="160" w:line="360" w:lineRule="auto"/>
        <w:jc w:val="both"/>
        <w:rPr>
          <w:rFonts w:asciiTheme="majorBidi" w:hAnsiTheme="majorBidi" w:cs="Times New Roman"/>
          <w:bCs/>
          <w:sz w:val="24"/>
          <w:szCs w:val="24"/>
        </w:rPr>
      </w:pPr>
      <w:r w:rsidRPr="0053469F">
        <w:rPr>
          <w:rFonts w:asciiTheme="majorBidi" w:hAnsiTheme="majorBidi" w:cs="Times New Roman"/>
          <w:bCs/>
          <w:sz w:val="24"/>
          <w:szCs w:val="24"/>
        </w:rPr>
        <w:t>L’établissement hospitalier de BouguerraBoulaares situé à Bekkaria (wilaya de Tébessa) plus précisément au niveau du service infectieux et au sein du laboratoire d’analyses médicales.</w:t>
      </w:r>
    </w:p>
    <w:p w:rsidR="00DC664D" w:rsidRPr="0053469F" w:rsidRDefault="00DC664D" w:rsidP="00A21FB0">
      <w:pPr>
        <w:pStyle w:val="Paragraphedeliste"/>
        <w:numPr>
          <w:ilvl w:val="0"/>
          <w:numId w:val="9"/>
        </w:numPr>
        <w:spacing w:after="160" w:line="360" w:lineRule="auto"/>
        <w:jc w:val="both"/>
        <w:rPr>
          <w:rFonts w:asciiTheme="majorBidi" w:hAnsiTheme="majorBidi" w:cs="Times New Roman"/>
          <w:bCs/>
          <w:sz w:val="24"/>
          <w:szCs w:val="24"/>
        </w:rPr>
      </w:pPr>
      <w:r w:rsidRPr="0053469F">
        <w:rPr>
          <w:rFonts w:asciiTheme="majorBidi" w:hAnsiTheme="majorBidi" w:cs="Times New Roman"/>
          <w:bCs/>
          <w:sz w:val="24"/>
          <w:szCs w:val="24"/>
        </w:rPr>
        <w:t>L’assistance médicale gratuite de (AMG) Bachir Mantouri situé au centre-ville de Tébessa, un dispositif permettant à certaines personnes d’avoir un accès gratuit aux soins médicaux.</w:t>
      </w:r>
    </w:p>
    <w:p w:rsidR="00DC664D" w:rsidRPr="00E6415C" w:rsidRDefault="00DC664D" w:rsidP="00DC664D">
      <w:pPr>
        <w:spacing w:line="360" w:lineRule="auto"/>
        <w:jc w:val="both"/>
        <w:rPr>
          <w:rFonts w:asciiTheme="majorBidi" w:hAnsiTheme="majorBidi" w:cs="Times New Roman"/>
          <w:b/>
          <w:bCs/>
          <w:color w:val="7030A0"/>
          <w:sz w:val="28"/>
          <w:szCs w:val="28"/>
        </w:rPr>
      </w:pPr>
      <w:r w:rsidRPr="00E6415C">
        <w:rPr>
          <w:rFonts w:asciiTheme="majorBidi" w:hAnsiTheme="majorBidi" w:cs="Times New Roman"/>
          <w:b/>
          <w:bCs/>
          <w:color w:val="7030A0"/>
          <w:sz w:val="28"/>
          <w:szCs w:val="28"/>
        </w:rPr>
        <w:t>3. Population d’étude</w:t>
      </w:r>
    </w:p>
    <w:p w:rsidR="00DC664D" w:rsidRDefault="00DC664D" w:rsidP="00DC664D">
      <w:pPr>
        <w:spacing w:line="360" w:lineRule="auto"/>
        <w:jc w:val="both"/>
        <w:rPr>
          <w:rFonts w:asciiTheme="majorBidi" w:hAnsiTheme="majorBidi" w:cs="Times New Roman"/>
          <w:bCs/>
          <w:sz w:val="24"/>
          <w:szCs w:val="24"/>
        </w:rPr>
      </w:pPr>
      <w:r w:rsidRPr="00551628">
        <w:rPr>
          <w:rFonts w:asciiTheme="majorBidi" w:hAnsiTheme="majorBidi" w:cs="Times New Roman"/>
          <w:bCs/>
          <w:sz w:val="24"/>
          <w:szCs w:val="24"/>
        </w:rPr>
        <w:t>L’étude comparative et analytique a porté sur 100 patients atteints de VHC et 100 témoins</w:t>
      </w:r>
      <w:r>
        <w:rPr>
          <w:rFonts w:asciiTheme="majorBidi" w:hAnsiTheme="majorBidi" w:cs="Times New Roman"/>
          <w:bCs/>
          <w:sz w:val="24"/>
          <w:szCs w:val="24"/>
        </w:rPr>
        <w:t>, l</w:t>
      </w:r>
      <w:r w:rsidRPr="00551628">
        <w:rPr>
          <w:rFonts w:asciiTheme="majorBidi" w:hAnsiTheme="majorBidi" w:cs="Times New Roman"/>
          <w:bCs/>
          <w:sz w:val="24"/>
          <w:szCs w:val="24"/>
        </w:rPr>
        <w:t xml:space="preserve">es deux sexes sont inclus.  </w:t>
      </w:r>
    </w:p>
    <w:p w:rsidR="00DC664D" w:rsidRPr="00DF04FD" w:rsidRDefault="00DC664D" w:rsidP="00A21FB0">
      <w:pPr>
        <w:pStyle w:val="Paragraphedeliste"/>
        <w:numPr>
          <w:ilvl w:val="1"/>
          <w:numId w:val="42"/>
        </w:numPr>
        <w:spacing w:after="160" w:line="360" w:lineRule="auto"/>
        <w:ind w:left="426"/>
        <w:jc w:val="both"/>
        <w:rPr>
          <w:rFonts w:asciiTheme="majorBidi" w:hAnsiTheme="majorBidi" w:cs="Times New Roman"/>
          <w:b/>
          <w:color w:val="7030A0"/>
          <w:sz w:val="24"/>
          <w:szCs w:val="24"/>
        </w:rPr>
      </w:pPr>
      <w:r w:rsidRPr="00DF04FD">
        <w:rPr>
          <w:rFonts w:asciiTheme="majorBidi" w:hAnsiTheme="majorBidi" w:cs="Times New Roman"/>
          <w:b/>
          <w:color w:val="7030A0"/>
          <w:sz w:val="24"/>
          <w:szCs w:val="24"/>
        </w:rPr>
        <w:t xml:space="preserve"> Pour le groupe des malades :</w:t>
      </w:r>
    </w:p>
    <w:p w:rsidR="00DC664D" w:rsidRDefault="00DC664D" w:rsidP="00DC664D">
      <w:pPr>
        <w:spacing w:line="360" w:lineRule="auto"/>
        <w:jc w:val="both"/>
        <w:rPr>
          <w:rFonts w:ascii="Times New Roman" w:hAnsi="Times New Roman" w:cs="Times New Roman"/>
          <w:sz w:val="24"/>
          <w:szCs w:val="24"/>
        </w:rPr>
      </w:pPr>
      <w:r w:rsidRPr="000743AB">
        <w:rPr>
          <w:rFonts w:asciiTheme="majorBidi" w:hAnsiTheme="majorBidi" w:cs="Times New Roman"/>
          <w:b/>
          <w:i/>
          <w:iCs/>
          <w:sz w:val="24"/>
          <w:szCs w:val="24"/>
          <w:u w:val="single"/>
        </w:rPr>
        <w:t>Critère d’inclusion</w:t>
      </w:r>
      <w:r w:rsidRPr="0089248C">
        <w:rPr>
          <w:rFonts w:asciiTheme="majorBidi" w:hAnsiTheme="majorBidi" w:cs="Times New Roman"/>
          <w:bCs/>
          <w:sz w:val="24"/>
          <w:szCs w:val="24"/>
        </w:rPr>
        <w:t> :</w:t>
      </w:r>
      <w:r w:rsidR="007D4B8D">
        <w:rPr>
          <w:rFonts w:asciiTheme="majorBidi" w:hAnsiTheme="majorBidi" w:cs="Times New Roman"/>
          <w:bCs/>
          <w:sz w:val="24"/>
          <w:szCs w:val="24"/>
        </w:rPr>
        <w:t xml:space="preserve"> </w:t>
      </w:r>
      <w:r w:rsidRPr="00551628">
        <w:rPr>
          <w:rFonts w:asciiTheme="majorBidi" w:hAnsiTheme="majorBidi" w:cs="Times New Roman"/>
          <w:bCs/>
          <w:sz w:val="24"/>
          <w:szCs w:val="24"/>
        </w:rPr>
        <w:t>malades venu de régions différentes de la wilaya de Tébessa consultant au niveau de l’hôpital et de l’AMG de Tébessa</w:t>
      </w:r>
      <w:r>
        <w:rPr>
          <w:rFonts w:asciiTheme="majorBidi" w:hAnsiTheme="majorBidi" w:cs="Times New Roman"/>
          <w:bCs/>
          <w:sz w:val="24"/>
          <w:szCs w:val="24"/>
        </w:rPr>
        <w:t xml:space="preserve"> et connus pour une hépatite C</w:t>
      </w:r>
      <w:r w:rsidRPr="00551628">
        <w:rPr>
          <w:rFonts w:asciiTheme="majorBidi" w:hAnsiTheme="majorBidi" w:cs="Times New Roman"/>
          <w:bCs/>
          <w:sz w:val="24"/>
          <w:szCs w:val="24"/>
        </w:rPr>
        <w:t>.</w:t>
      </w:r>
      <w:r w:rsidRPr="00192E3A">
        <w:rPr>
          <w:rFonts w:ascii="Times New Roman" w:hAnsi="Times New Roman" w:cs="Times New Roman"/>
          <w:sz w:val="24"/>
          <w:szCs w:val="24"/>
        </w:rPr>
        <w:t>Ils ont été définis par une sérologie virale C et un ARN viral C positif depuis plus de 6 mois</w:t>
      </w:r>
      <w:r>
        <w:rPr>
          <w:rFonts w:ascii="Times New Roman" w:hAnsi="Times New Roman" w:cs="Times New Roman"/>
          <w:sz w:val="24"/>
          <w:szCs w:val="24"/>
        </w:rPr>
        <w:t>.</w:t>
      </w:r>
    </w:p>
    <w:p w:rsidR="00DC664D" w:rsidRPr="0089248C" w:rsidRDefault="00DC664D" w:rsidP="00DC664D">
      <w:pPr>
        <w:spacing w:line="360" w:lineRule="auto"/>
        <w:jc w:val="both"/>
        <w:rPr>
          <w:rFonts w:asciiTheme="majorBidi" w:hAnsiTheme="majorBidi" w:cs="Times New Roman"/>
          <w:sz w:val="24"/>
          <w:szCs w:val="24"/>
        </w:rPr>
      </w:pPr>
      <w:r w:rsidRPr="000743AB">
        <w:rPr>
          <w:rFonts w:asciiTheme="majorBidi" w:hAnsiTheme="majorBidi" w:cs="Times New Roman"/>
          <w:b/>
          <w:i/>
          <w:iCs/>
          <w:sz w:val="24"/>
          <w:szCs w:val="24"/>
          <w:u w:val="single"/>
        </w:rPr>
        <w:t>Critère de non inclusion</w:t>
      </w:r>
      <w:r w:rsidRPr="00566DD8">
        <w:rPr>
          <w:rFonts w:asciiTheme="majorBidi" w:hAnsiTheme="majorBidi" w:cs="Times New Roman"/>
          <w:b/>
          <w:i/>
          <w:iCs/>
          <w:sz w:val="24"/>
          <w:szCs w:val="24"/>
        </w:rPr>
        <w:t> :</w:t>
      </w:r>
      <w:r w:rsidRPr="0089248C">
        <w:rPr>
          <w:rFonts w:asciiTheme="majorBidi" w:hAnsiTheme="majorBidi" w:cs="Times New Roman"/>
          <w:sz w:val="24"/>
          <w:szCs w:val="24"/>
        </w:rPr>
        <w:t xml:space="preserve">Nous avons exclu </w:t>
      </w:r>
      <w:r>
        <w:rPr>
          <w:rFonts w:asciiTheme="majorBidi" w:hAnsiTheme="majorBidi" w:cs="Times New Roman"/>
          <w:sz w:val="24"/>
          <w:szCs w:val="24"/>
        </w:rPr>
        <w:t xml:space="preserve">avec l’aide de médecin traitant </w:t>
      </w:r>
      <w:r w:rsidRPr="0089248C">
        <w:rPr>
          <w:rFonts w:asciiTheme="majorBidi" w:hAnsiTheme="majorBidi" w:cs="Times New Roman"/>
          <w:sz w:val="24"/>
          <w:szCs w:val="24"/>
        </w:rPr>
        <w:t>tous les patients cirrhotiques ou porteurs de toutes autres causes  d’hépatopathie  chronique  (tel  que  les  éthyliques  chroniques,  les  prises médicamenteuses hépatotoxiques).</w:t>
      </w:r>
    </w:p>
    <w:p w:rsidR="00DC664D" w:rsidRPr="00553717" w:rsidRDefault="00DC664D" w:rsidP="00A21FB0">
      <w:pPr>
        <w:pStyle w:val="Paragraphedeliste"/>
        <w:numPr>
          <w:ilvl w:val="1"/>
          <w:numId w:val="42"/>
        </w:numPr>
        <w:spacing w:after="160" w:line="360" w:lineRule="auto"/>
        <w:ind w:left="567"/>
        <w:jc w:val="both"/>
        <w:rPr>
          <w:rFonts w:asciiTheme="majorBidi" w:hAnsiTheme="majorBidi" w:cs="Times New Roman"/>
          <w:bCs/>
          <w:color w:val="7030A0"/>
          <w:sz w:val="24"/>
          <w:szCs w:val="24"/>
        </w:rPr>
      </w:pPr>
      <w:r w:rsidRPr="00553717">
        <w:rPr>
          <w:rFonts w:asciiTheme="majorBidi" w:hAnsiTheme="majorBidi" w:cs="Times New Roman"/>
          <w:b/>
          <w:color w:val="7030A0"/>
          <w:sz w:val="24"/>
          <w:szCs w:val="24"/>
        </w:rPr>
        <w:t xml:space="preserve"> Pour groupe des témoins </w:t>
      </w:r>
      <w:r w:rsidRPr="00553717">
        <w:rPr>
          <w:rFonts w:asciiTheme="majorBidi" w:hAnsiTheme="majorBidi" w:cs="Times New Roman"/>
          <w:bCs/>
          <w:color w:val="7030A0"/>
          <w:sz w:val="24"/>
          <w:szCs w:val="24"/>
        </w:rPr>
        <w:t>:</w:t>
      </w:r>
    </w:p>
    <w:p w:rsidR="00DC664D" w:rsidRPr="0089248C" w:rsidRDefault="00DC664D" w:rsidP="00DC664D">
      <w:pPr>
        <w:spacing w:line="360" w:lineRule="auto"/>
        <w:jc w:val="both"/>
        <w:rPr>
          <w:rFonts w:asciiTheme="majorBidi" w:hAnsiTheme="majorBidi" w:cs="Times New Roman"/>
          <w:sz w:val="24"/>
          <w:szCs w:val="24"/>
        </w:rPr>
      </w:pPr>
      <w:r w:rsidRPr="000743AB">
        <w:rPr>
          <w:rFonts w:asciiTheme="majorBidi" w:hAnsiTheme="majorBidi" w:cs="Times New Roman"/>
          <w:b/>
          <w:i/>
          <w:iCs/>
          <w:sz w:val="24"/>
          <w:szCs w:val="24"/>
          <w:u w:val="single"/>
        </w:rPr>
        <w:t>Critère d’inclusion</w:t>
      </w:r>
      <w:r w:rsidRPr="0089248C">
        <w:rPr>
          <w:rFonts w:asciiTheme="majorBidi" w:hAnsiTheme="majorBidi" w:cs="Times New Roman"/>
          <w:bCs/>
          <w:sz w:val="24"/>
          <w:szCs w:val="24"/>
        </w:rPr>
        <w:t> :</w:t>
      </w:r>
      <w:r w:rsidR="007D4B8D">
        <w:rPr>
          <w:rFonts w:asciiTheme="majorBidi" w:hAnsiTheme="majorBidi" w:cs="Times New Roman"/>
          <w:bCs/>
          <w:sz w:val="24"/>
          <w:szCs w:val="24"/>
        </w:rPr>
        <w:t xml:space="preserve"> </w:t>
      </w:r>
      <w:r w:rsidRPr="0089248C">
        <w:rPr>
          <w:rFonts w:asciiTheme="majorBidi" w:hAnsiTheme="majorBidi" w:cs="Times New Roman"/>
          <w:sz w:val="24"/>
          <w:szCs w:val="24"/>
        </w:rPr>
        <w:t xml:space="preserve">ont été inclus </w:t>
      </w:r>
      <w:r>
        <w:rPr>
          <w:rFonts w:asciiTheme="majorBidi" w:hAnsiTheme="majorBidi" w:cs="Times New Roman"/>
          <w:sz w:val="24"/>
          <w:szCs w:val="24"/>
        </w:rPr>
        <w:t>100</w:t>
      </w:r>
      <w:r w:rsidRPr="0089248C">
        <w:rPr>
          <w:rFonts w:asciiTheme="majorBidi" w:hAnsiTheme="majorBidi" w:cs="Times New Roman"/>
          <w:sz w:val="24"/>
          <w:szCs w:val="24"/>
        </w:rPr>
        <w:t xml:space="preserve"> volontaires sains, appariés par âge et par sexe. Ces sujets étaient des </w:t>
      </w:r>
      <w:r>
        <w:rPr>
          <w:rFonts w:asciiTheme="majorBidi" w:hAnsiTheme="majorBidi" w:cs="Times New Roman"/>
          <w:sz w:val="24"/>
          <w:szCs w:val="24"/>
        </w:rPr>
        <w:t xml:space="preserve">volontaires et </w:t>
      </w:r>
      <w:r w:rsidRPr="0089248C">
        <w:rPr>
          <w:rFonts w:asciiTheme="majorBidi" w:hAnsiTheme="majorBidi" w:cs="Times New Roman"/>
          <w:sz w:val="24"/>
          <w:szCs w:val="24"/>
        </w:rPr>
        <w:t xml:space="preserve"> des fonctionnaires paramédicaux de </w:t>
      </w:r>
      <w:r>
        <w:rPr>
          <w:rFonts w:asciiTheme="majorBidi" w:hAnsiTheme="majorBidi" w:cs="Times New Roman"/>
          <w:sz w:val="24"/>
          <w:szCs w:val="24"/>
        </w:rPr>
        <w:t>l’</w:t>
      </w:r>
      <w:r w:rsidRPr="0089248C">
        <w:rPr>
          <w:rFonts w:asciiTheme="majorBidi" w:hAnsiTheme="majorBidi" w:cs="Times New Roman"/>
          <w:sz w:val="24"/>
          <w:szCs w:val="24"/>
        </w:rPr>
        <w:t>hôpital dont l’examen clinique et le bilan hépatique étaient normaux et dont la sérologie VHC était négative.</w:t>
      </w:r>
    </w:p>
    <w:p w:rsidR="00DC664D" w:rsidRDefault="00DC664D" w:rsidP="00DC664D">
      <w:pPr>
        <w:spacing w:line="360" w:lineRule="auto"/>
        <w:jc w:val="both"/>
        <w:rPr>
          <w:rFonts w:asciiTheme="majorBidi" w:hAnsiTheme="majorBidi" w:cs="Times New Roman"/>
          <w:sz w:val="24"/>
          <w:szCs w:val="24"/>
        </w:rPr>
      </w:pPr>
      <w:r w:rsidRPr="000743AB">
        <w:rPr>
          <w:rFonts w:asciiTheme="majorBidi" w:hAnsiTheme="majorBidi" w:cs="Times New Roman"/>
          <w:b/>
          <w:i/>
          <w:iCs/>
          <w:sz w:val="24"/>
          <w:szCs w:val="24"/>
          <w:u w:val="single"/>
        </w:rPr>
        <w:t>Critère de non inclusion</w:t>
      </w:r>
      <w:r w:rsidRPr="000743AB">
        <w:rPr>
          <w:rFonts w:asciiTheme="majorBidi" w:hAnsiTheme="majorBidi" w:cs="Times New Roman"/>
          <w:bCs/>
          <w:sz w:val="24"/>
          <w:szCs w:val="24"/>
        </w:rPr>
        <w:t> :</w:t>
      </w:r>
      <w:r w:rsidRPr="0089248C">
        <w:rPr>
          <w:rFonts w:asciiTheme="majorBidi" w:hAnsiTheme="majorBidi" w:cs="Times New Roman"/>
          <w:sz w:val="24"/>
          <w:szCs w:val="24"/>
        </w:rPr>
        <w:t>Nous  avons  exclu  les  sujets  ayant  une  pathologie concomitante  pouvant  influencer  leurs  paramètres  lipidiques (diabète, dysthyroidie)  ou  prenant  des  traitements  pouvant  modifier  le  métabolisme lipidique</w:t>
      </w:r>
      <w:r>
        <w:rPr>
          <w:rFonts w:asciiTheme="majorBidi" w:hAnsiTheme="majorBidi" w:cs="Times New Roman"/>
          <w:sz w:val="24"/>
          <w:szCs w:val="24"/>
        </w:rPr>
        <w:t>.</w:t>
      </w:r>
    </w:p>
    <w:p w:rsidR="00DC664D" w:rsidRPr="000743AB" w:rsidRDefault="00DC664D" w:rsidP="00DC664D">
      <w:pPr>
        <w:spacing w:line="360" w:lineRule="auto"/>
        <w:jc w:val="both"/>
        <w:rPr>
          <w:rFonts w:asciiTheme="majorBidi" w:hAnsiTheme="majorBidi" w:cs="Times New Roman"/>
          <w:bCs/>
          <w:sz w:val="24"/>
          <w:szCs w:val="24"/>
        </w:rPr>
      </w:pPr>
    </w:p>
    <w:p w:rsidR="00DC664D" w:rsidRPr="00E6415C" w:rsidRDefault="00DC664D" w:rsidP="00DC664D">
      <w:pPr>
        <w:spacing w:line="360" w:lineRule="auto"/>
        <w:jc w:val="both"/>
        <w:rPr>
          <w:rFonts w:asciiTheme="majorBidi" w:hAnsiTheme="majorBidi" w:cs="Times New Roman"/>
          <w:b/>
          <w:bCs/>
          <w:color w:val="7030A0"/>
          <w:sz w:val="28"/>
          <w:szCs w:val="28"/>
        </w:rPr>
      </w:pPr>
      <w:r w:rsidRPr="00E6415C">
        <w:rPr>
          <w:rFonts w:asciiTheme="majorBidi" w:hAnsiTheme="majorBidi" w:cs="Times New Roman"/>
          <w:b/>
          <w:bCs/>
          <w:color w:val="7030A0"/>
          <w:sz w:val="28"/>
          <w:szCs w:val="28"/>
        </w:rPr>
        <w:lastRenderedPageBreak/>
        <w:t>4. Déroulement de l’enquête</w:t>
      </w:r>
    </w:p>
    <w:p w:rsidR="00DC664D" w:rsidRPr="00551628" w:rsidRDefault="00DC664D" w:rsidP="00DC664D">
      <w:pPr>
        <w:spacing w:line="360" w:lineRule="auto"/>
        <w:ind w:firstLine="851"/>
        <w:jc w:val="both"/>
        <w:rPr>
          <w:rFonts w:asciiTheme="majorBidi" w:hAnsiTheme="majorBidi" w:cs="Times New Roman"/>
          <w:bCs/>
          <w:sz w:val="24"/>
          <w:szCs w:val="24"/>
        </w:rPr>
      </w:pPr>
      <w:r w:rsidRPr="00551628">
        <w:rPr>
          <w:rFonts w:asciiTheme="majorBidi" w:hAnsiTheme="majorBidi" w:cs="Times New Roman"/>
          <w:bCs/>
          <w:sz w:val="24"/>
          <w:szCs w:val="24"/>
        </w:rPr>
        <w:t xml:space="preserve">Notre enquête est effectuée du </w:t>
      </w:r>
      <w:smartTag w:uri="urn:schemas-microsoft-com:office:smarttags" w:element="date">
        <w:smartTagPr>
          <w:attr w:name="Year" w:val="2016"/>
          <w:attr w:name="Day" w:val="16"/>
          <w:attr w:name="Month" w:val="01"/>
          <w:attr w:name="ls" w:val="trans"/>
        </w:smartTagPr>
        <w:r w:rsidRPr="00551628">
          <w:rPr>
            <w:rFonts w:asciiTheme="majorBidi" w:hAnsiTheme="majorBidi" w:cs="Times New Roman"/>
            <w:bCs/>
            <w:sz w:val="24"/>
            <w:szCs w:val="24"/>
          </w:rPr>
          <w:t>16/01/2016</w:t>
        </w:r>
      </w:smartTag>
      <w:r w:rsidRPr="00551628">
        <w:rPr>
          <w:rFonts w:asciiTheme="majorBidi" w:hAnsiTheme="majorBidi" w:cs="Times New Roman"/>
          <w:bCs/>
          <w:sz w:val="24"/>
          <w:szCs w:val="24"/>
        </w:rPr>
        <w:t xml:space="preserve">  au </w:t>
      </w:r>
      <w:smartTag w:uri="urn:schemas-microsoft-com:office:smarttags" w:element="date">
        <w:smartTagPr>
          <w:attr w:name="Year" w:val="2016"/>
          <w:attr w:name="Day" w:val="14"/>
          <w:attr w:name="Month" w:val="04"/>
          <w:attr w:name="ls" w:val="trans"/>
        </w:smartTagPr>
        <w:r w:rsidRPr="00551628">
          <w:rPr>
            <w:rFonts w:asciiTheme="majorBidi" w:hAnsiTheme="majorBidi" w:cs="Times New Roman"/>
            <w:bCs/>
            <w:sz w:val="24"/>
            <w:szCs w:val="24"/>
          </w:rPr>
          <w:t>14/04/2016.</w:t>
        </w:r>
      </w:smartTag>
      <w:r w:rsidRPr="00551628">
        <w:rPr>
          <w:rFonts w:asciiTheme="majorBidi" w:hAnsiTheme="majorBidi" w:cs="Times New Roman"/>
          <w:bCs/>
          <w:sz w:val="24"/>
          <w:szCs w:val="24"/>
        </w:rPr>
        <w:t xml:space="preserve"> Les  patients qui ont  donné  leur  accord pour la réalisation de cette enquête ont fait l’objet d’un prélèvement du sang veineux et des  mesures  anthropométriques (poids, taille).</w:t>
      </w:r>
    </w:p>
    <w:p w:rsidR="00DC664D" w:rsidRPr="00E6415C" w:rsidRDefault="00DC664D" w:rsidP="00DC664D">
      <w:pPr>
        <w:spacing w:line="360" w:lineRule="auto"/>
        <w:jc w:val="both"/>
        <w:rPr>
          <w:rFonts w:ascii="Times New Roman" w:hAnsi="Times New Roman" w:cs="Times New Roman"/>
          <w:b/>
          <w:bCs/>
          <w:color w:val="7030A0"/>
          <w:sz w:val="24"/>
          <w:szCs w:val="24"/>
        </w:rPr>
      </w:pPr>
      <w:r w:rsidRPr="00E6415C">
        <w:rPr>
          <w:rFonts w:ascii="Times New Roman" w:hAnsi="Times New Roman" w:cs="Times New Roman"/>
          <w:b/>
          <w:bCs/>
          <w:color w:val="7030A0"/>
          <w:sz w:val="24"/>
          <w:szCs w:val="24"/>
        </w:rPr>
        <w:t>4.1. Questionnaire</w:t>
      </w:r>
    </w:p>
    <w:p w:rsidR="00DC664D" w:rsidRPr="00B436E3" w:rsidRDefault="00DC664D" w:rsidP="00DC664D">
      <w:pPr>
        <w:autoSpaceDE w:val="0"/>
        <w:autoSpaceDN w:val="0"/>
        <w:adjustRightInd w:val="0"/>
        <w:spacing w:after="0" w:line="360" w:lineRule="auto"/>
        <w:jc w:val="both"/>
        <w:rPr>
          <w:rFonts w:asciiTheme="majorBidi" w:hAnsiTheme="majorBidi" w:cs="Times New Roman"/>
          <w:sz w:val="24"/>
          <w:szCs w:val="24"/>
        </w:rPr>
      </w:pPr>
      <w:r w:rsidRPr="00B436E3">
        <w:rPr>
          <w:rFonts w:asciiTheme="majorBidi" w:hAnsiTheme="majorBidi" w:cs="Times New Roman"/>
          <w:sz w:val="24"/>
          <w:szCs w:val="24"/>
        </w:rPr>
        <w:t xml:space="preserve">Les informations suivantes ont été recueillies : nom et prénom ; âge ; sexe ; date de découverte de la maladie ; risque de contamination ; histoire familiale du diabète ; stade de fibrose réalisé par un fibrotest demandé préalablement par le médecin traitant </w:t>
      </w:r>
      <w:r w:rsidRPr="001E0E94">
        <w:rPr>
          <w:rFonts w:asciiTheme="majorBidi" w:hAnsiTheme="majorBidi" w:cs="Times New Roman"/>
          <w:sz w:val="24"/>
          <w:szCs w:val="24"/>
        </w:rPr>
        <w:t>et qui est basé sur un calcul effectué à partir des résultats de 05 marqueurs sériques différents sont : l’haptoglobine, la biliruline totale, la γ-GT (gamma glutamyltransferase), l’α2 macroglobuline et l’apolipoproteine A1), ainsi au moyen d’une formule brevetée et reproductible, on obtient un score de fibrose qui peut être transposé en score Métavir</w:t>
      </w:r>
      <w:r w:rsidR="007D4B8D">
        <w:rPr>
          <w:rFonts w:asciiTheme="majorBidi" w:hAnsiTheme="majorBidi" w:cs="Times New Roman"/>
          <w:sz w:val="24"/>
          <w:szCs w:val="24"/>
        </w:rPr>
        <w:t xml:space="preserve"> </w:t>
      </w:r>
      <w:r w:rsidRPr="001E0E94">
        <w:rPr>
          <w:rFonts w:asciiTheme="majorBidi" w:hAnsiTheme="majorBidi" w:cs="Times New Roman"/>
          <w:b/>
          <w:bCs/>
          <w:sz w:val="24"/>
          <w:szCs w:val="24"/>
        </w:rPr>
        <w:t>(Maillard, 2013 ; Chaouch, 2011)</w:t>
      </w:r>
      <w:r w:rsidRPr="00B436E3">
        <w:rPr>
          <w:rFonts w:asciiTheme="majorBidi" w:hAnsiTheme="majorBidi" w:cs="Times New Roman"/>
          <w:sz w:val="24"/>
          <w:szCs w:val="24"/>
        </w:rPr>
        <w:t xml:space="preserve"> (voir annexe).</w:t>
      </w:r>
    </w:p>
    <w:p w:rsidR="00DC664D" w:rsidRPr="00E6415C" w:rsidRDefault="00DC664D" w:rsidP="00DC664D">
      <w:pPr>
        <w:spacing w:line="360" w:lineRule="auto"/>
        <w:jc w:val="both"/>
        <w:rPr>
          <w:rFonts w:asciiTheme="majorBidi" w:hAnsiTheme="majorBidi" w:cs="Times New Roman"/>
          <w:b/>
          <w:bCs/>
          <w:color w:val="7030A0"/>
          <w:sz w:val="24"/>
          <w:szCs w:val="24"/>
        </w:rPr>
      </w:pPr>
      <w:r w:rsidRPr="00E6415C">
        <w:rPr>
          <w:rFonts w:asciiTheme="majorBidi" w:hAnsiTheme="majorBidi" w:cs="Times New Roman"/>
          <w:b/>
          <w:bCs/>
          <w:color w:val="7030A0"/>
          <w:sz w:val="24"/>
          <w:szCs w:val="24"/>
        </w:rPr>
        <w:t>4.2. Données anthropométrique</w:t>
      </w:r>
      <w:r>
        <w:rPr>
          <w:rFonts w:asciiTheme="majorBidi" w:hAnsiTheme="majorBidi" w:cs="Times New Roman"/>
          <w:b/>
          <w:bCs/>
          <w:color w:val="7030A0"/>
          <w:sz w:val="24"/>
          <w:szCs w:val="24"/>
        </w:rPr>
        <w:t>s</w:t>
      </w:r>
    </w:p>
    <w:p w:rsidR="00DC664D" w:rsidRDefault="00DC664D" w:rsidP="00DC664D">
      <w:pPr>
        <w:spacing w:line="360" w:lineRule="auto"/>
        <w:jc w:val="both"/>
        <w:rPr>
          <w:rFonts w:asciiTheme="majorBidi" w:hAnsiTheme="majorBidi" w:cs="Times New Roman"/>
          <w:b/>
          <w:bCs/>
          <w:sz w:val="24"/>
          <w:szCs w:val="24"/>
          <w:bdr w:val="none" w:sz="0" w:space="0" w:color="auto" w:frame="1"/>
          <w:shd w:val="clear" w:color="auto" w:fill="FFFFFF"/>
        </w:rPr>
      </w:pPr>
      <w:r w:rsidRPr="00E6415C">
        <w:rPr>
          <w:rFonts w:asciiTheme="majorBidi" w:hAnsiTheme="majorBidi" w:cs="Times New Roman"/>
          <w:b/>
          <w:bCs/>
          <w:sz w:val="24"/>
          <w:szCs w:val="24"/>
          <w:bdr w:val="none" w:sz="0" w:space="0" w:color="auto" w:frame="1"/>
          <w:shd w:val="clear" w:color="auto" w:fill="FFFFFF"/>
        </w:rPr>
        <w:t>4.2.1. Taille</w:t>
      </w:r>
      <w:r>
        <w:rPr>
          <w:rFonts w:asciiTheme="majorBidi" w:hAnsiTheme="majorBidi" w:cs="Times New Roman"/>
          <w:b/>
          <w:bCs/>
          <w:sz w:val="24"/>
          <w:szCs w:val="24"/>
          <w:bdr w:val="none" w:sz="0" w:space="0" w:color="auto" w:frame="1"/>
          <w:shd w:val="clear" w:color="auto" w:fill="FFFFFF"/>
        </w:rPr>
        <w:t xml:space="preserve"> : </w:t>
      </w:r>
      <w:r w:rsidRPr="00551628">
        <w:rPr>
          <w:rFonts w:asciiTheme="majorBidi" w:hAnsiTheme="majorBidi" w:cs="Times New Roman"/>
          <w:bCs/>
          <w:sz w:val="24"/>
          <w:szCs w:val="24"/>
        </w:rPr>
        <w:t xml:space="preserve">La  mesure de la taille a été faite à l’aide d’un mètre-ruban de couturière, le patient toujours pieds nu et le long d’un mur plat, nous avons tracé la hauteur puis nous avons mesuré avec le mètre ruban. </w:t>
      </w:r>
    </w:p>
    <w:p w:rsidR="00DC664D" w:rsidRDefault="00DC664D" w:rsidP="00DC664D">
      <w:pPr>
        <w:spacing w:line="360" w:lineRule="auto"/>
        <w:jc w:val="both"/>
        <w:rPr>
          <w:rFonts w:asciiTheme="majorBidi" w:hAnsiTheme="majorBidi" w:cs="Times New Roman"/>
          <w:kern w:val="36"/>
          <w:sz w:val="24"/>
          <w:szCs w:val="24"/>
          <w:lang w:eastAsia="fr-FR"/>
        </w:rPr>
      </w:pPr>
      <w:r w:rsidRPr="00E6415C">
        <w:rPr>
          <w:rFonts w:asciiTheme="majorBidi" w:hAnsiTheme="majorBidi" w:cs="Times New Roman"/>
          <w:b/>
          <w:bCs/>
          <w:sz w:val="24"/>
          <w:szCs w:val="24"/>
          <w:bdr w:val="none" w:sz="0" w:space="0" w:color="auto" w:frame="1"/>
          <w:shd w:val="clear" w:color="auto" w:fill="FFFFFF"/>
        </w:rPr>
        <w:t>4.2.2. Poids</w:t>
      </w:r>
      <w:r>
        <w:rPr>
          <w:rFonts w:asciiTheme="majorBidi" w:hAnsiTheme="majorBidi" w:cs="Times New Roman"/>
          <w:b/>
          <w:bCs/>
          <w:sz w:val="24"/>
          <w:szCs w:val="24"/>
          <w:bdr w:val="none" w:sz="0" w:space="0" w:color="auto" w:frame="1"/>
          <w:shd w:val="clear" w:color="auto" w:fill="FFFFFF"/>
        </w:rPr>
        <w:t xml:space="preserve"> : </w:t>
      </w:r>
      <w:r w:rsidRPr="00551628">
        <w:rPr>
          <w:rFonts w:asciiTheme="majorBidi" w:eastAsiaTheme="majorEastAsia" w:hAnsiTheme="majorBidi" w:cs="Times New Roman"/>
          <w:sz w:val="24"/>
          <w:szCs w:val="24"/>
        </w:rPr>
        <w:t>La  mesure du poids a été réalisé</w:t>
      </w:r>
      <w:r>
        <w:rPr>
          <w:rFonts w:asciiTheme="majorBidi" w:eastAsiaTheme="majorEastAsia" w:hAnsiTheme="majorBidi" w:cs="Times New Roman"/>
          <w:sz w:val="24"/>
          <w:szCs w:val="24"/>
        </w:rPr>
        <w:t>e</w:t>
      </w:r>
      <w:r w:rsidRPr="00551628">
        <w:rPr>
          <w:rFonts w:asciiTheme="majorBidi" w:eastAsiaTheme="majorEastAsia" w:hAnsiTheme="majorBidi" w:cs="Times New Roman"/>
          <w:sz w:val="24"/>
          <w:szCs w:val="24"/>
        </w:rPr>
        <w:t xml:space="preserve"> sur une pèse personne (</w:t>
      </w:r>
      <w:r w:rsidRPr="00551628">
        <w:rPr>
          <w:rFonts w:asciiTheme="majorBidi" w:hAnsiTheme="majorBidi" w:cs="Times New Roman"/>
          <w:kern w:val="36"/>
          <w:sz w:val="24"/>
          <w:szCs w:val="24"/>
          <w:lang w:eastAsia="fr-FR"/>
        </w:rPr>
        <w:t>Salter – 9114)</w:t>
      </w:r>
      <w:r w:rsidRPr="00551628">
        <w:rPr>
          <w:rFonts w:asciiTheme="majorBidi" w:eastAsiaTheme="majorEastAsia" w:hAnsiTheme="majorBidi" w:cs="Times New Roman"/>
          <w:sz w:val="24"/>
          <w:szCs w:val="24"/>
        </w:rPr>
        <w:t xml:space="preserve">, chacun doit enlever ses vêtements lourd (manteau,  veste...) et  les  chaussures,  se  tenir  debout et droit sur la pèse personne. </w:t>
      </w:r>
    </w:p>
    <w:p w:rsidR="00ED3E57" w:rsidRDefault="00DC664D" w:rsidP="00ED3E57">
      <w:pPr>
        <w:keepNext/>
        <w:keepLines/>
        <w:shd w:val="clear" w:color="auto" w:fill="FFFFFF"/>
        <w:spacing w:after="120" w:line="360" w:lineRule="auto"/>
        <w:jc w:val="both"/>
        <w:outlineLvl w:val="0"/>
        <w:rPr>
          <w:rFonts w:asciiTheme="majorBidi" w:hAnsiTheme="majorBidi" w:cs="Times New Roman"/>
          <w:b/>
          <w:kern w:val="36"/>
          <w:sz w:val="24"/>
          <w:szCs w:val="24"/>
          <w:lang w:eastAsia="fr-FR"/>
        </w:rPr>
      </w:pPr>
      <w:r>
        <w:rPr>
          <w:rFonts w:asciiTheme="majorBidi" w:hAnsiTheme="majorBidi" w:cs="Times New Roman"/>
          <w:b/>
          <w:bCs/>
          <w:sz w:val="24"/>
          <w:szCs w:val="24"/>
          <w:bdr w:val="none" w:sz="0" w:space="0" w:color="auto" w:frame="1"/>
          <w:shd w:val="clear" w:color="auto" w:fill="FFFFFF"/>
        </w:rPr>
        <w:t xml:space="preserve">4.2.3. Indice de masse corporelle (IMC) : </w:t>
      </w:r>
      <w:r w:rsidRPr="006A2BA0">
        <w:rPr>
          <w:rFonts w:asciiTheme="majorBidi" w:hAnsiTheme="majorBidi" w:cs="Times New Roman"/>
          <w:sz w:val="24"/>
          <w:szCs w:val="24"/>
          <w:bdr w:val="none" w:sz="0" w:space="0" w:color="auto" w:frame="1"/>
          <w:shd w:val="clear" w:color="auto" w:fill="FFFFFF"/>
        </w:rPr>
        <w:t xml:space="preserve">Il </w:t>
      </w:r>
      <w:r w:rsidRPr="006A2BA0">
        <w:rPr>
          <w:rFonts w:asciiTheme="majorBidi" w:hAnsiTheme="majorBidi" w:cs="Times New Roman"/>
          <w:sz w:val="24"/>
          <w:szCs w:val="24"/>
        </w:rPr>
        <w:t>permet</w:t>
      </w:r>
      <w:r w:rsidRPr="00551628">
        <w:rPr>
          <w:rFonts w:asciiTheme="majorBidi" w:hAnsiTheme="majorBidi" w:cs="Times New Roman"/>
          <w:sz w:val="24"/>
          <w:szCs w:val="24"/>
        </w:rPr>
        <w:t xml:space="preserve"> d'évaluer la corpulence d'un individu. </w:t>
      </w:r>
      <w:r>
        <w:rPr>
          <w:rFonts w:asciiTheme="majorBidi" w:hAnsiTheme="majorBidi" w:cs="Times New Roman"/>
          <w:bCs/>
          <w:color w:val="000000" w:themeColor="text1"/>
          <w:sz w:val="24"/>
          <w:szCs w:val="24"/>
          <w:shd w:val="clear" w:color="auto" w:fill="FFFFFF"/>
        </w:rPr>
        <w:t xml:space="preserve">Il est </w:t>
      </w:r>
      <w:r w:rsidRPr="00551628">
        <w:rPr>
          <w:rFonts w:asciiTheme="majorBidi" w:hAnsiTheme="majorBidi" w:cs="Times New Roman"/>
          <w:bCs/>
          <w:color w:val="000000" w:themeColor="text1"/>
          <w:sz w:val="24"/>
          <w:szCs w:val="24"/>
          <w:shd w:val="clear" w:color="auto" w:fill="FFFFFF"/>
        </w:rPr>
        <w:t xml:space="preserve">calculé à partir de la formule suivante : </w:t>
      </w:r>
      <w:r w:rsidRPr="006A2BA0">
        <w:rPr>
          <w:rFonts w:asciiTheme="majorBidi" w:hAnsiTheme="majorBidi" w:cs="Times New Roman"/>
          <w:b/>
          <w:color w:val="000000" w:themeColor="text1"/>
          <w:sz w:val="24"/>
          <w:szCs w:val="24"/>
          <w:shd w:val="clear" w:color="auto" w:fill="FFFFFF"/>
        </w:rPr>
        <w:t>IMC= poids (kg) / [taille (m)] ².</w:t>
      </w:r>
    </w:p>
    <w:p w:rsidR="00DC664D" w:rsidRPr="00ED3E57" w:rsidRDefault="00DC664D" w:rsidP="00ED3E57">
      <w:pPr>
        <w:keepNext/>
        <w:keepLines/>
        <w:shd w:val="clear" w:color="auto" w:fill="FFFFFF"/>
        <w:spacing w:after="120" w:line="360" w:lineRule="auto"/>
        <w:jc w:val="both"/>
        <w:outlineLvl w:val="0"/>
        <w:rPr>
          <w:rFonts w:asciiTheme="majorBidi" w:hAnsiTheme="majorBidi" w:cs="Times New Roman"/>
          <w:b/>
          <w:kern w:val="36"/>
          <w:sz w:val="24"/>
          <w:szCs w:val="24"/>
          <w:lang w:eastAsia="fr-FR"/>
        </w:rPr>
      </w:pPr>
      <w:r w:rsidRPr="00F069A5">
        <w:rPr>
          <w:rFonts w:ascii="inherit" w:hAnsi="inherit" w:cs="Times New Roman"/>
          <w:sz w:val="23"/>
          <w:szCs w:val="23"/>
          <w:bdr w:val="none" w:sz="0" w:space="0" w:color="auto" w:frame="1"/>
          <w:lang w:eastAsia="fr-FR"/>
        </w:rPr>
        <w:t>La classification de l’IMC selon l’Organisation mondiale de la santé OMS est représenté</w:t>
      </w:r>
      <w:r>
        <w:rPr>
          <w:rFonts w:ascii="inherit" w:hAnsi="inherit" w:cs="Times New Roman"/>
          <w:sz w:val="23"/>
          <w:szCs w:val="23"/>
          <w:bdr w:val="none" w:sz="0" w:space="0" w:color="auto" w:frame="1"/>
          <w:lang w:eastAsia="fr-FR"/>
        </w:rPr>
        <w:t>e</w:t>
      </w:r>
      <w:r w:rsidRPr="00F069A5">
        <w:rPr>
          <w:rFonts w:ascii="inherit" w:hAnsi="inherit" w:cs="Times New Roman"/>
          <w:sz w:val="23"/>
          <w:szCs w:val="23"/>
          <w:bdr w:val="none" w:sz="0" w:space="0" w:color="auto" w:frame="1"/>
          <w:lang w:eastAsia="fr-FR"/>
        </w:rPr>
        <w:t xml:space="preserve"> dans le tableau II.1</w:t>
      </w:r>
    </w:p>
    <w:p w:rsidR="00DC664D" w:rsidRPr="00ED3E57" w:rsidRDefault="00DC664D" w:rsidP="00ED3E57">
      <w:pPr>
        <w:spacing w:line="360" w:lineRule="auto"/>
        <w:rPr>
          <w:rFonts w:asciiTheme="majorBidi" w:hAnsiTheme="majorBidi" w:cs="Times New Roman"/>
          <w:sz w:val="24"/>
          <w:szCs w:val="24"/>
        </w:rPr>
      </w:pPr>
      <w:r w:rsidRPr="00551628">
        <w:rPr>
          <w:rFonts w:asciiTheme="majorBidi" w:hAnsiTheme="majorBidi" w:cs="Times New Roman"/>
          <w:b/>
          <w:bCs/>
          <w:sz w:val="24"/>
          <w:szCs w:val="24"/>
        </w:rPr>
        <w:t>Tableau</w:t>
      </w:r>
      <w:r>
        <w:rPr>
          <w:rFonts w:asciiTheme="majorBidi" w:hAnsiTheme="majorBidi" w:cs="Times New Roman"/>
          <w:b/>
          <w:bCs/>
          <w:sz w:val="24"/>
          <w:szCs w:val="24"/>
        </w:rPr>
        <w:t xml:space="preserve"> II.1</w:t>
      </w:r>
      <w:r w:rsidRPr="00551628">
        <w:rPr>
          <w:rFonts w:asciiTheme="majorBidi" w:hAnsiTheme="majorBidi" w:cs="Times New Roman"/>
          <w:b/>
          <w:bCs/>
          <w:sz w:val="24"/>
          <w:szCs w:val="24"/>
        </w:rPr>
        <w:t xml:space="preserve">. </w:t>
      </w:r>
      <w:r w:rsidRPr="007609C3">
        <w:rPr>
          <w:rFonts w:asciiTheme="majorBidi" w:hAnsiTheme="majorBidi" w:cs="Times New Roman"/>
          <w:sz w:val="24"/>
          <w:szCs w:val="24"/>
        </w:rPr>
        <w:t>Catégories standard d’état de poids associés à l’BMI varie pour les adultes</w:t>
      </w:r>
    </w:p>
    <w:tbl>
      <w:tblPr>
        <w:tblStyle w:val="Listeclaire-Accent4"/>
        <w:tblpPr w:leftFromText="141" w:rightFromText="141" w:vertAnchor="text" w:horzAnchor="margin" w:tblpXSpec="center" w:tblpY="22"/>
        <w:tblW w:w="4506" w:type="pct"/>
        <w:tblLook w:val="0000"/>
      </w:tblPr>
      <w:tblGrid>
        <w:gridCol w:w="4350"/>
        <w:gridCol w:w="4274"/>
      </w:tblGrid>
      <w:tr w:rsidR="007D4B8D" w:rsidRPr="00FF762F" w:rsidTr="007D4B8D">
        <w:trPr>
          <w:cnfStyle w:val="000000100000"/>
          <w:trHeight w:val="204"/>
        </w:trPr>
        <w:tc>
          <w:tcPr>
            <w:cnfStyle w:val="000010000000"/>
            <w:tcW w:w="2522" w:type="pct"/>
            <w:tcBorders>
              <w:top w:val="single" w:sz="12" w:space="0" w:color="7030A0"/>
              <w:left w:val="single" w:sz="12" w:space="0" w:color="7030A0"/>
              <w:bottom w:val="single" w:sz="12" w:space="0" w:color="7030A0"/>
              <w:right w:val="single" w:sz="12" w:space="0" w:color="7030A0"/>
            </w:tcBorders>
          </w:tcPr>
          <w:p w:rsidR="00ED3E57" w:rsidRPr="00FF762F" w:rsidRDefault="00ED3E57" w:rsidP="00556101">
            <w:pPr>
              <w:spacing w:line="360" w:lineRule="auto"/>
              <w:jc w:val="both"/>
              <w:rPr>
                <w:rFonts w:asciiTheme="majorBidi" w:hAnsiTheme="majorBidi" w:cstheme="majorBidi"/>
                <w:b/>
                <w:bCs/>
                <w:sz w:val="24"/>
                <w:szCs w:val="24"/>
              </w:rPr>
            </w:pPr>
            <w:r w:rsidRPr="00FF762F">
              <w:rPr>
                <w:rFonts w:asciiTheme="majorBidi" w:hAnsiTheme="majorBidi" w:cstheme="majorBidi"/>
                <w:b/>
                <w:bCs/>
                <w:sz w:val="24"/>
                <w:szCs w:val="24"/>
              </w:rPr>
              <w:t>(IMC en kg.m</w:t>
            </w:r>
            <w:r w:rsidRPr="009365E5">
              <w:rPr>
                <w:rFonts w:asciiTheme="majorBidi" w:hAnsiTheme="majorBidi" w:cstheme="majorBidi"/>
                <w:b/>
                <w:bCs/>
                <w:sz w:val="24"/>
                <w:szCs w:val="24"/>
                <w:vertAlign w:val="superscript"/>
              </w:rPr>
              <w:t>-2</w:t>
            </w:r>
            <w:r w:rsidRPr="00FF762F">
              <w:rPr>
                <w:rFonts w:asciiTheme="majorBidi" w:hAnsiTheme="majorBidi" w:cstheme="majorBidi"/>
                <w:b/>
                <w:bCs/>
                <w:sz w:val="24"/>
                <w:szCs w:val="24"/>
              </w:rPr>
              <w:t>)</w:t>
            </w:r>
          </w:p>
        </w:tc>
        <w:tc>
          <w:tcPr>
            <w:tcW w:w="2478" w:type="pct"/>
            <w:tcBorders>
              <w:top w:val="single" w:sz="12" w:space="0" w:color="7030A0"/>
              <w:left w:val="single" w:sz="12" w:space="0" w:color="7030A0"/>
              <w:bottom w:val="single" w:sz="12" w:space="0" w:color="7030A0"/>
              <w:right w:val="single" w:sz="12" w:space="0" w:color="7030A0"/>
            </w:tcBorders>
          </w:tcPr>
          <w:p w:rsidR="00ED3E57" w:rsidRPr="00FF762F" w:rsidRDefault="00ED3E57" w:rsidP="00556101">
            <w:pPr>
              <w:spacing w:line="360" w:lineRule="auto"/>
              <w:jc w:val="both"/>
              <w:cnfStyle w:val="000000100000"/>
              <w:rPr>
                <w:rFonts w:asciiTheme="majorBidi" w:hAnsiTheme="majorBidi" w:cstheme="majorBidi"/>
                <w:b/>
                <w:bCs/>
                <w:sz w:val="24"/>
                <w:szCs w:val="24"/>
              </w:rPr>
            </w:pPr>
            <w:r w:rsidRPr="00FF762F">
              <w:rPr>
                <w:rFonts w:asciiTheme="majorBidi" w:hAnsiTheme="majorBidi" w:cstheme="majorBidi"/>
                <w:b/>
                <w:bCs/>
                <w:sz w:val="24"/>
                <w:szCs w:val="24"/>
              </w:rPr>
              <w:t>Interprétation</w:t>
            </w:r>
          </w:p>
        </w:tc>
      </w:tr>
      <w:tr w:rsidR="007D4B8D" w:rsidRPr="00006EB7" w:rsidTr="007D4B8D">
        <w:trPr>
          <w:trHeight w:val="215"/>
        </w:trPr>
        <w:tc>
          <w:tcPr>
            <w:cnfStyle w:val="000010000000"/>
            <w:tcW w:w="2522" w:type="pct"/>
            <w:tcBorders>
              <w:top w:val="single" w:sz="12" w:space="0" w:color="7030A0"/>
              <w:left w:val="single" w:sz="12" w:space="0" w:color="7030A0"/>
              <w:bottom w:val="single" w:sz="12" w:space="0" w:color="7030A0"/>
              <w:right w:val="single" w:sz="12" w:space="0" w:color="7030A0"/>
            </w:tcBorders>
          </w:tcPr>
          <w:p w:rsidR="00ED3E57" w:rsidRPr="00006EB7" w:rsidRDefault="00ED3E57" w:rsidP="00556101">
            <w:pPr>
              <w:spacing w:line="360" w:lineRule="auto"/>
              <w:jc w:val="both"/>
              <w:rPr>
                <w:rFonts w:asciiTheme="majorBidi" w:hAnsiTheme="majorBidi" w:cstheme="majorBidi"/>
                <w:b/>
                <w:sz w:val="24"/>
                <w:szCs w:val="24"/>
              </w:rPr>
            </w:pPr>
            <w:r w:rsidRPr="00006EB7">
              <w:rPr>
                <w:rFonts w:asciiTheme="majorBidi" w:hAnsiTheme="majorBidi" w:cstheme="majorBidi"/>
                <w:b/>
                <w:sz w:val="24"/>
                <w:szCs w:val="24"/>
              </w:rPr>
              <w:t>IMC&lt; 17.9</w:t>
            </w:r>
          </w:p>
        </w:tc>
        <w:tc>
          <w:tcPr>
            <w:tcW w:w="2478" w:type="pct"/>
            <w:tcBorders>
              <w:top w:val="single" w:sz="12" w:space="0" w:color="7030A0"/>
              <w:left w:val="single" w:sz="12" w:space="0" w:color="7030A0"/>
              <w:bottom w:val="single" w:sz="12" w:space="0" w:color="7030A0"/>
              <w:right w:val="single" w:sz="12" w:space="0" w:color="7030A0"/>
            </w:tcBorders>
          </w:tcPr>
          <w:p w:rsidR="00ED3E57" w:rsidRPr="00006EB7" w:rsidRDefault="00ED3E57" w:rsidP="00556101">
            <w:pPr>
              <w:tabs>
                <w:tab w:val="center" w:pos="2201"/>
              </w:tabs>
              <w:spacing w:line="360" w:lineRule="auto"/>
              <w:jc w:val="both"/>
              <w:cnfStyle w:val="000000000000"/>
              <w:rPr>
                <w:rFonts w:asciiTheme="majorBidi" w:hAnsiTheme="majorBidi" w:cstheme="majorBidi"/>
                <w:b/>
                <w:sz w:val="24"/>
                <w:szCs w:val="24"/>
              </w:rPr>
            </w:pPr>
            <w:r w:rsidRPr="00006EB7">
              <w:rPr>
                <w:rFonts w:asciiTheme="majorBidi" w:hAnsiTheme="majorBidi" w:cstheme="majorBidi"/>
                <w:b/>
                <w:sz w:val="24"/>
                <w:szCs w:val="24"/>
              </w:rPr>
              <w:t>Maigreur</w:t>
            </w:r>
          </w:p>
        </w:tc>
      </w:tr>
      <w:tr w:rsidR="007D4B8D" w:rsidRPr="00006EB7" w:rsidTr="007D4B8D">
        <w:trPr>
          <w:cnfStyle w:val="000000100000"/>
          <w:trHeight w:val="167"/>
        </w:trPr>
        <w:tc>
          <w:tcPr>
            <w:cnfStyle w:val="000010000000"/>
            <w:tcW w:w="2522" w:type="pct"/>
            <w:tcBorders>
              <w:top w:val="single" w:sz="12" w:space="0" w:color="7030A0"/>
              <w:left w:val="single" w:sz="12" w:space="0" w:color="7030A0"/>
              <w:bottom w:val="single" w:sz="12" w:space="0" w:color="7030A0"/>
              <w:right w:val="single" w:sz="12" w:space="0" w:color="7030A0"/>
            </w:tcBorders>
          </w:tcPr>
          <w:p w:rsidR="00ED3E57" w:rsidRPr="00006EB7" w:rsidRDefault="00ED3E57" w:rsidP="00556101">
            <w:pPr>
              <w:tabs>
                <w:tab w:val="center" w:pos="2086"/>
                <w:tab w:val="right" w:pos="4172"/>
              </w:tabs>
              <w:spacing w:line="360" w:lineRule="auto"/>
              <w:jc w:val="both"/>
              <w:rPr>
                <w:rFonts w:asciiTheme="majorBidi" w:hAnsiTheme="majorBidi" w:cstheme="majorBidi"/>
                <w:b/>
                <w:sz w:val="24"/>
                <w:szCs w:val="24"/>
              </w:rPr>
            </w:pPr>
            <w:r w:rsidRPr="00006EB7">
              <w:rPr>
                <w:rFonts w:asciiTheme="majorBidi" w:hAnsiTheme="majorBidi" w:cstheme="majorBidi"/>
                <w:b/>
                <w:sz w:val="24"/>
                <w:szCs w:val="24"/>
              </w:rPr>
              <w:t>18≤IMC≤24.9</w:t>
            </w:r>
            <w:r w:rsidRPr="00006EB7">
              <w:rPr>
                <w:rFonts w:asciiTheme="majorBidi" w:hAnsiTheme="majorBidi" w:cstheme="majorBidi"/>
                <w:b/>
                <w:sz w:val="24"/>
                <w:szCs w:val="24"/>
              </w:rPr>
              <w:tab/>
            </w:r>
          </w:p>
        </w:tc>
        <w:tc>
          <w:tcPr>
            <w:tcW w:w="2478" w:type="pct"/>
            <w:tcBorders>
              <w:top w:val="single" w:sz="12" w:space="0" w:color="7030A0"/>
              <w:left w:val="single" w:sz="12" w:space="0" w:color="7030A0"/>
              <w:bottom w:val="single" w:sz="12" w:space="0" w:color="7030A0"/>
              <w:right w:val="single" w:sz="12" w:space="0" w:color="7030A0"/>
            </w:tcBorders>
          </w:tcPr>
          <w:p w:rsidR="00ED3E57" w:rsidRPr="00006EB7" w:rsidRDefault="00ED3E57" w:rsidP="00556101">
            <w:pPr>
              <w:spacing w:line="360" w:lineRule="auto"/>
              <w:jc w:val="both"/>
              <w:cnfStyle w:val="000000100000"/>
              <w:rPr>
                <w:rFonts w:asciiTheme="majorBidi" w:hAnsiTheme="majorBidi" w:cstheme="majorBidi"/>
                <w:b/>
                <w:sz w:val="24"/>
                <w:szCs w:val="24"/>
              </w:rPr>
            </w:pPr>
            <w:r w:rsidRPr="00006EB7">
              <w:rPr>
                <w:rFonts w:asciiTheme="majorBidi" w:hAnsiTheme="majorBidi" w:cstheme="majorBidi"/>
                <w:b/>
                <w:sz w:val="24"/>
                <w:szCs w:val="24"/>
              </w:rPr>
              <w:t>Corpulence normale</w:t>
            </w:r>
          </w:p>
        </w:tc>
      </w:tr>
      <w:tr w:rsidR="007D4B8D" w:rsidRPr="00006EB7" w:rsidTr="007D4B8D">
        <w:trPr>
          <w:trHeight w:val="167"/>
        </w:trPr>
        <w:tc>
          <w:tcPr>
            <w:cnfStyle w:val="000010000000"/>
            <w:tcW w:w="2522" w:type="pct"/>
            <w:tcBorders>
              <w:top w:val="single" w:sz="12" w:space="0" w:color="7030A0"/>
              <w:left w:val="single" w:sz="12" w:space="0" w:color="7030A0"/>
              <w:bottom w:val="single" w:sz="12" w:space="0" w:color="7030A0"/>
              <w:right w:val="single" w:sz="12" w:space="0" w:color="7030A0"/>
            </w:tcBorders>
          </w:tcPr>
          <w:p w:rsidR="00ED3E57" w:rsidRPr="00006EB7" w:rsidRDefault="00ED3E57" w:rsidP="00556101">
            <w:pPr>
              <w:spacing w:line="360" w:lineRule="auto"/>
              <w:jc w:val="both"/>
              <w:rPr>
                <w:rFonts w:asciiTheme="majorBidi" w:hAnsiTheme="majorBidi" w:cstheme="majorBidi"/>
                <w:b/>
                <w:sz w:val="24"/>
                <w:szCs w:val="24"/>
              </w:rPr>
            </w:pPr>
            <w:r w:rsidRPr="00006EB7">
              <w:rPr>
                <w:rFonts w:asciiTheme="majorBidi" w:hAnsiTheme="majorBidi" w:cstheme="majorBidi"/>
                <w:b/>
                <w:sz w:val="24"/>
                <w:szCs w:val="24"/>
              </w:rPr>
              <w:t>25&lt;IMC≤29.9</w:t>
            </w:r>
          </w:p>
        </w:tc>
        <w:tc>
          <w:tcPr>
            <w:tcW w:w="2478" w:type="pct"/>
            <w:tcBorders>
              <w:top w:val="single" w:sz="12" w:space="0" w:color="7030A0"/>
              <w:left w:val="single" w:sz="12" w:space="0" w:color="7030A0"/>
              <w:bottom w:val="single" w:sz="12" w:space="0" w:color="7030A0"/>
              <w:right w:val="single" w:sz="12" w:space="0" w:color="7030A0"/>
            </w:tcBorders>
          </w:tcPr>
          <w:p w:rsidR="00ED3E57" w:rsidRPr="00006EB7" w:rsidRDefault="00ED3E57" w:rsidP="00556101">
            <w:pPr>
              <w:spacing w:line="360" w:lineRule="auto"/>
              <w:jc w:val="both"/>
              <w:cnfStyle w:val="000000000000"/>
              <w:rPr>
                <w:rFonts w:asciiTheme="majorBidi" w:hAnsiTheme="majorBidi" w:cstheme="majorBidi"/>
                <w:b/>
                <w:sz w:val="24"/>
                <w:szCs w:val="24"/>
              </w:rPr>
            </w:pPr>
            <w:r w:rsidRPr="00006EB7">
              <w:rPr>
                <w:rFonts w:asciiTheme="majorBidi" w:hAnsiTheme="majorBidi" w:cstheme="majorBidi"/>
                <w:b/>
                <w:sz w:val="24"/>
                <w:szCs w:val="24"/>
              </w:rPr>
              <w:t>Surpoids</w:t>
            </w:r>
          </w:p>
        </w:tc>
      </w:tr>
      <w:tr w:rsidR="007D4B8D" w:rsidRPr="00006EB7" w:rsidTr="007D4B8D">
        <w:trPr>
          <w:cnfStyle w:val="000000100000"/>
          <w:trHeight w:val="301"/>
        </w:trPr>
        <w:tc>
          <w:tcPr>
            <w:cnfStyle w:val="000010000000"/>
            <w:tcW w:w="2522" w:type="pct"/>
            <w:tcBorders>
              <w:top w:val="single" w:sz="12" w:space="0" w:color="7030A0"/>
              <w:left w:val="single" w:sz="12" w:space="0" w:color="7030A0"/>
              <w:bottom w:val="single" w:sz="12" w:space="0" w:color="7030A0"/>
              <w:right w:val="single" w:sz="12" w:space="0" w:color="7030A0"/>
            </w:tcBorders>
          </w:tcPr>
          <w:p w:rsidR="00ED3E57" w:rsidRPr="00006EB7" w:rsidRDefault="00ED3E57" w:rsidP="00556101">
            <w:pPr>
              <w:spacing w:line="360" w:lineRule="auto"/>
              <w:jc w:val="both"/>
              <w:rPr>
                <w:rFonts w:asciiTheme="majorBidi" w:hAnsiTheme="majorBidi" w:cstheme="majorBidi"/>
                <w:b/>
                <w:sz w:val="24"/>
                <w:szCs w:val="24"/>
              </w:rPr>
            </w:pPr>
            <w:r w:rsidRPr="00006EB7">
              <w:rPr>
                <w:rFonts w:asciiTheme="majorBidi" w:hAnsiTheme="majorBidi" w:cstheme="majorBidi"/>
                <w:b/>
                <w:sz w:val="24"/>
                <w:szCs w:val="24"/>
              </w:rPr>
              <w:t>IMC≥ 30</w:t>
            </w:r>
          </w:p>
        </w:tc>
        <w:tc>
          <w:tcPr>
            <w:tcW w:w="2478" w:type="pct"/>
            <w:tcBorders>
              <w:top w:val="single" w:sz="12" w:space="0" w:color="7030A0"/>
              <w:left w:val="single" w:sz="12" w:space="0" w:color="7030A0"/>
              <w:bottom w:val="single" w:sz="12" w:space="0" w:color="7030A0"/>
              <w:right w:val="single" w:sz="12" w:space="0" w:color="7030A0"/>
            </w:tcBorders>
          </w:tcPr>
          <w:p w:rsidR="00ED3E57" w:rsidRPr="00006EB7" w:rsidRDefault="00ED3E57" w:rsidP="00556101">
            <w:pPr>
              <w:spacing w:line="360" w:lineRule="auto"/>
              <w:jc w:val="both"/>
              <w:cnfStyle w:val="000000100000"/>
              <w:rPr>
                <w:rFonts w:asciiTheme="majorBidi" w:hAnsiTheme="majorBidi" w:cstheme="majorBidi"/>
                <w:b/>
                <w:sz w:val="24"/>
                <w:szCs w:val="24"/>
              </w:rPr>
            </w:pPr>
            <w:r w:rsidRPr="00006EB7">
              <w:rPr>
                <w:rFonts w:asciiTheme="majorBidi" w:hAnsiTheme="majorBidi" w:cstheme="majorBidi"/>
                <w:b/>
                <w:sz w:val="24"/>
                <w:szCs w:val="24"/>
              </w:rPr>
              <w:t>Obésité</w:t>
            </w:r>
          </w:p>
        </w:tc>
      </w:tr>
    </w:tbl>
    <w:p w:rsidR="00DC664D" w:rsidRPr="009D3642" w:rsidRDefault="00DC664D" w:rsidP="00DC664D">
      <w:pPr>
        <w:spacing w:line="360" w:lineRule="auto"/>
        <w:jc w:val="both"/>
        <w:rPr>
          <w:rFonts w:asciiTheme="majorBidi" w:hAnsiTheme="majorBidi" w:cs="Times New Roman"/>
          <w:b/>
          <w:bCs/>
          <w:color w:val="7030A0"/>
          <w:sz w:val="24"/>
          <w:szCs w:val="24"/>
        </w:rPr>
      </w:pPr>
      <w:r w:rsidRPr="009D3642">
        <w:rPr>
          <w:rFonts w:asciiTheme="majorBidi" w:hAnsiTheme="majorBidi" w:cs="Times New Roman"/>
          <w:b/>
          <w:bCs/>
          <w:color w:val="7030A0"/>
          <w:sz w:val="24"/>
          <w:szCs w:val="24"/>
        </w:rPr>
        <w:lastRenderedPageBreak/>
        <w:t xml:space="preserve">4.3.  Mesure de tension artérielle </w:t>
      </w:r>
    </w:p>
    <w:p w:rsidR="00DC664D" w:rsidRPr="00551628" w:rsidRDefault="00DC664D" w:rsidP="00DC664D">
      <w:pPr>
        <w:spacing w:line="360" w:lineRule="auto"/>
        <w:jc w:val="both"/>
        <w:rPr>
          <w:rFonts w:asciiTheme="majorBidi" w:hAnsiTheme="majorBidi" w:cs="Times New Roman"/>
          <w:bCs/>
          <w:color w:val="000000" w:themeColor="text1"/>
          <w:sz w:val="24"/>
          <w:szCs w:val="24"/>
          <w:shd w:val="clear" w:color="auto" w:fill="FFFFFF"/>
        </w:rPr>
      </w:pPr>
      <w:r w:rsidRPr="00551628">
        <w:rPr>
          <w:rFonts w:asciiTheme="majorBidi" w:hAnsiTheme="majorBidi" w:cs="Times New Roman"/>
          <w:sz w:val="24"/>
          <w:szCs w:val="24"/>
        </w:rPr>
        <w:t xml:space="preserve">              La tension artérielle, ou pression artérielle, se définit comme la pression exercée par le sang sur la paroi des artères</w:t>
      </w:r>
      <w:r w:rsidRPr="00551628">
        <w:rPr>
          <w:rFonts w:asciiTheme="majorBidi" w:hAnsiTheme="majorBidi" w:cs="Times New Roman"/>
          <w:b/>
          <w:bCs/>
          <w:sz w:val="24"/>
          <w:szCs w:val="24"/>
        </w:rPr>
        <w:t>,</w:t>
      </w:r>
      <w:r w:rsidRPr="00551628">
        <w:rPr>
          <w:rFonts w:asciiTheme="majorBidi" w:hAnsiTheme="majorBidi" w:cs="Times New Roman"/>
          <w:sz w:val="24"/>
          <w:szCs w:val="24"/>
          <w:shd w:val="clear" w:color="auto" w:fill="FFFFFF"/>
        </w:rPr>
        <w:t xml:space="preserve"> dans notre étude on a mesuré la tension des patients atteints d’une hépatite virale et le</w:t>
      </w:r>
      <w:r>
        <w:rPr>
          <w:rFonts w:asciiTheme="majorBidi" w:hAnsiTheme="majorBidi" w:cs="Times New Roman"/>
          <w:sz w:val="24"/>
          <w:szCs w:val="24"/>
          <w:shd w:val="clear" w:color="auto" w:fill="FFFFFF"/>
        </w:rPr>
        <w:t>s</w:t>
      </w:r>
      <w:r w:rsidRPr="00551628">
        <w:rPr>
          <w:rFonts w:asciiTheme="majorBidi" w:hAnsiTheme="majorBidi" w:cs="Times New Roman"/>
          <w:sz w:val="24"/>
          <w:szCs w:val="24"/>
          <w:shd w:val="clear" w:color="auto" w:fill="FFFFFF"/>
        </w:rPr>
        <w:t xml:space="preserve"> témoins à l’aide d’un tensiomètre</w:t>
      </w:r>
      <w:r w:rsidRPr="00551628">
        <w:rPr>
          <w:rFonts w:asciiTheme="majorBidi" w:hAnsiTheme="majorBidi" w:cs="Times New Roman"/>
          <w:bCs/>
          <w:sz w:val="24"/>
          <w:szCs w:val="24"/>
          <w:shd w:val="clear" w:color="auto" w:fill="FFFFFF"/>
        </w:rPr>
        <w:t xml:space="preserve"> (brassard + stéthoscope)</w:t>
      </w:r>
      <w:r>
        <w:rPr>
          <w:rFonts w:asciiTheme="majorBidi" w:hAnsiTheme="majorBidi" w:cs="Times New Roman"/>
          <w:bCs/>
          <w:sz w:val="24"/>
          <w:szCs w:val="24"/>
          <w:shd w:val="clear" w:color="auto" w:fill="FFFFFF"/>
        </w:rPr>
        <w:t>. L</w:t>
      </w:r>
      <w:r w:rsidRPr="00551628">
        <w:rPr>
          <w:rFonts w:asciiTheme="majorBidi" w:hAnsiTheme="majorBidi" w:cs="Times New Roman"/>
          <w:bCs/>
          <w:sz w:val="24"/>
          <w:szCs w:val="24"/>
          <w:shd w:val="clear" w:color="auto" w:fill="FFFFFF"/>
        </w:rPr>
        <w:t>e brassard placé sur la main gauche du patient puis le stéthoscope</w:t>
      </w:r>
      <w:r w:rsidRPr="00551628">
        <w:rPr>
          <w:rFonts w:asciiTheme="majorBidi" w:hAnsiTheme="majorBidi" w:cs="Times New Roman"/>
          <w:bCs/>
          <w:color w:val="000000" w:themeColor="text1"/>
          <w:sz w:val="24"/>
          <w:szCs w:val="24"/>
          <w:shd w:val="clear" w:color="auto" w:fill="FFFFFF"/>
        </w:rPr>
        <w:t>, les  pressions artérielles, systoliques et diastoliques ont été marqués.</w:t>
      </w:r>
    </w:p>
    <w:p w:rsidR="00DC664D" w:rsidRDefault="00DC664D" w:rsidP="00DC664D">
      <w:pPr>
        <w:spacing w:line="360" w:lineRule="auto"/>
        <w:jc w:val="both"/>
        <w:rPr>
          <w:rFonts w:asciiTheme="majorBidi" w:hAnsiTheme="majorBidi" w:cs="Times New Roman"/>
          <w:bCs/>
          <w:color w:val="000000" w:themeColor="text1"/>
          <w:sz w:val="24"/>
          <w:szCs w:val="24"/>
          <w:shd w:val="clear" w:color="auto" w:fill="FFFFFF"/>
        </w:rPr>
      </w:pPr>
      <w:r w:rsidRPr="00551628">
        <w:rPr>
          <w:rFonts w:asciiTheme="majorBidi" w:hAnsiTheme="majorBidi" w:cs="Times New Roman"/>
          <w:bCs/>
          <w:color w:val="000000" w:themeColor="text1"/>
          <w:sz w:val="24"/>
          <w:szCs w:val="24"/>
          <w:shd w:val="clear" w:color="auto" w:fill="FFFFFF"/>
        </w:rPr>
        <w:t xml:space="preserve">            La tension artérielle est impliquée dans le syndrome métabolique qui intègre l’ensemble de petites anomalies et qui est capable d’augmenter le risque cardiovasculaire.</w:t>
      </w:r>
    </w:p>
    <w:p w:rsidR="00DC664D" w:rsidRDefault="00DC664D" w:rsidP="00DC664D">
      <w:pPr>
        <w:spacing w:line="360" w:lineRule="auto"/>
        <w:jc w:val="both"/>
        <w:rPr>
          <w:rFonts w:asciiTheme="majorBidi" w:hAnsiTheme="majorBidi" w:cs="Times New Roman"/>
          <w:bCs/>
          <w:color w:val="000000" w:themeColor="text1"/>
          <w:sz w:val="24"/>
          <w:szCs w:val="24"/>
          <w:shd w:val="clear" w:color="auto" w:fill="FFFFFF"/>
        </w:rPr>
      </w:pPr>
      <w:r w:rsidRPr="0053469F">
        <w:rPr>
          <w:rFonts w:asciiTheme="majorBidi" w:hAnsiTheme="majorBidi" w:cs="Times New Roman"/>
          <w:b/>
          <w:color w:val="000000" w:themeColor="text1"/>
          <w:sz w:val="24"/>
          <w:szCs w:val="24"/>
          <w:shd w:val="clear" w:color="auto" w:fill="FFFFFF"/>
        </w:rPr>
        <w:t>Tableau II.2</w:t>
      </w:r>
      <w:r>
        <w:rPr>
          <w:rFonts w:asciiTheme="majorBidi" w:hAnsiTheme="majorBidi" w:cs="Times New Roman"/>
          <w:bCs/>
          <w:color w:val="000000" w:themeColor="text1"/>
          <w:sz w:val="24"/>
          <w:szCs w:val="24"/>
          <w:shd w:val="clear" w:color="auto" w:fill="FFFFFF"/>
        </w:rPr>
        <w:t>. Classification des tensions artérielles chez les adultes conformément aux  directives internationales (données en mm Hg).</w:t>
      </w:r>
    </w:p>
    <w:tbl>
      <w:tblPr>
        <w:tblStyle w:val="Grilleclaire-Accent4"/>
        <w:tblW w:w="10195" w:type="dxa"/>
        <w:tblInd w:w="-176" w:type="dxa"/>
        <w:tblLook w:val="04A0"/>
      </w:tblPr>
      <w:tblGrid>
        <w:gridCol w:w="3592"/>
        <w:gridCol w:w="1350"/>
        <w:gridCol w:w="1458"/>
        <w:gridCol w:w="3795"/>
      </w:tblGrid>
      <w:tr w:rsidR="00DC664D" w:rsidTr="00CD3351">
        <w:trPr>
          <w:cnfStyle w:val="100000000000"/>
          <w:trHeight w:val="560"/>
        </w:trPr>
        <w:tc>
          <w:tcPr>
            <w:cnfStyle w:val="001000000000"/>
            <w:tcW w:w="3592" w:type="dxa"/>
            <w:shd w:val="clear" w:color="auto" w:fill="FFFFFF" w:themeFill="background1"/>
          </w:tcPr>
          <w:p w:rsidR="00DC664D" w:rsidRDefault="00DC664D" w:rsidP="00CD3351">
            <w:pPr>
              <w:spacing w:line="360" w:lineRule="auto"/>
              <w:jc w:val="both"/>
              <w:rPr>
                <w:rFonts w:asciiTheme="majorBidi" w:hAnsiTheme="majorBidi"/>
                <w:bCs w:val="0"/>
                <w:color w:val="000000" w:themeColor="text1"/>
                <w:sz w:val="24"/>
                <w:szCs w:val="24"/>
                <w:shd w:val="clear" w:color="auto" w:fill="FFFFFF"/>
              </w:rPr>
            </w:pPr>
            <w:r>
              <w:rPr>
                <w:rFonts w:asciiTheme="majorBidi" w:hAnsiTheme="majorBidi"/>
                <w:bCs w:val="0"/>
                <w:color w:val="000000" w:themeColor="text1"/>
                <w:sz w:val="24"/>
                <w:szCs w:val="24"/>
                <w:shd w:val="clear" w:color="auto" w:fill="FFFFFF"/>
              </w:rPr>
              <w:t xml:space="preserve">Plage </w:t>
            </w:r>
          </w:p>
        </w:tc>
        <w:tc>
          <w:tcPr>
            <w:tcW w:w="1350" w:type="dxa"/>
            <w:shd w:val="clear" w:color="auto" w:fill="FFFFFF" w:themeFill="background1"/>
          </w:tcPr>
          <w:p w:rsidR="00DC664D" w:rsidRDefault="00DC664D" w:rsidP="00CD3351">
            <w:pPr>
              <w:spacing w:line="360" w:lineRule="auto"/>
              <w:jc w:val="both"/>
              <w:cnfStyle w:val="100000000000"/>
              <w:rPr>
                <w:rFonts w:asciiTheme="majorBidi" w:hAnsiTheme="majorBidi"/>
                <w:bCs w:val="0"/>
                <w:color w:val="000000" w:themeColor="text1"/>
                <w:sz w:val="24"/>
                <w:szCs w:val="24"/>
                <w:shd w:val="clear" w:color="auto" w:fill="FFFFFF"/>
              </w:rPr>
            </w:pPr>
            <w:r>
              <w:rPr>
                <w:rFonts w:asciiTheme="majorBidi" w:hAnsiTheme="majorBidi"/>
                <w:bCs w:val="0"/>
                <w:color w:val="000000" w:themeColor="text1"/>
                <w:sz w:val="24"/>
                <w:szCs w:val="24"/>
                <w:shd w:val="clear" w:color="auto" w:fill="FFFFFF"/>
              </w:rPr>
              <w:t xml:space="preserve">Systolique </w:t>
            </w:r>
          </w:p>
        </w:tc>
        <w:tc>
          <w:tcPr>
            <w:tcW w:w="1458" w:type="dxa"/>
            <w:shd w:val="clear" w:color="auto" w:fill="FFFFFF" w:themeFill="background1"/>
          </w:tcPr>
          <w:p w:rsidR="00DC664D" w:rsidRPr="001968A0" w:rsidRDefault="00DC664D" w:rsidP="00CD3351">
            <w:pPr>
              <w:spacing w:line="360" w:lineRule="auto"/>
              <w:jc w:val="both"/>
              <w:cnfStyle w:val="100000000000"/>
              <w:rPr>
                <w:rFonts w:asciiTheme="majorBidi" w:hAnsiTheme="majorBidi"/>
                <w:bCs w:val="0"/>
                <w:color w:val="000000" w:themeColor="text1"/>
                <w:sz w:val="24"/>
                <w:szCs w:val="24"/>
                <w:shd w:val="clear" w:color="auto" w:fill="FFFFFF"/>
              </w:rPr>
            </w:pPr>
            <w:r w:rsidRPr="001968A0">
              <w:rPr>
                <w:rFonts w:asciiTheme="majorBidi" w:hAnsiTheme="majorBidi"/>
                <w:bCs w:val="0"/>
                <w:color w:val="000000" w:themeColor="text1"/>
                <w:sz w:val="24"/>
                <w:szCs w:val="24"/>
                <w:shd w:val="clear" w:color="auto" w:fill="FFFFFF"/>
              </w:rPr>
              <w:t xml:space="preserve">Diastolique </w:t>
            </w:r>
          </w:p>
        </w:tc>
        <w:tc>
          <w:tcPr>
            <w:tcW w:w="3795" w:type="dxa"/>
            <w:shd w:val="clear" w:color="auto" w:fill="FFFFFF" w:themeFill="background1"/>
          </w:tcPr>
          <w:p w:rsidR="00DC664D" w:rsidRDefault="00DC664D" w:rsidP="00CD3351">
            <w:pPr>
              <w:spacing w:line="360" w:lineRule="auto"/>
              <w:jc w:val="both"/>
              <w:cnfStyle w:val="100000000000"/>
              <w:rPr>
                <w:rFonts w:asciiTheme="majorBidi" w:hAnsiTheme="majorBidi"/>
                <w:bCs w:val="0"/>
                <w:color w:val="000000" w:themeColor="text1"/>
                <w:sz w:val="24"/>
                <w:szCs w:val="24"/>
                <w:shd w:val="clear" w:color="auto" w:fill="FFFFFF"/>
              </w:rPr>
            </w:pPr>
            <w:r>
              <w:rPr>
                <w:rFonts w:asciiTheme="majorBidi" w:hAnsiTheme="majorBidi"/>
                <w:bCs w:val="0"/>
                <w:color w:val="000000" w:themeColor="text1"/>
                <w:sz w:val="24"/>
                <w:szCs w:val="24"/>
                <w:shd w:val="clear" w:color="auto" w:fill="FFFFFF"/>
              </w:rPr>
              <w:t xml:space="preserve">Recommandation </w:t>
            </w:r>
          </w:p>
        </w:tc>
      </w:tr>
      <w:tr w:rsidR="00DC664D" w:rsidTr="00CD3351">
        <w:trPr>
          <w:cnfStyle w:val="000000100000"/>
          <w:trHeight w:val="500"/>
        </w:trPr>
        <w:tc>
          <w:tcPr>
            <w:cnfStyle w:val="001000000000"/>
            <w:tcW w:w="3592" w:type="dxa"/>
            <w:shd w:val="clear" w:color="auto" w:fill="FFFFFF" w:themeFill="background1"/>
          </w:tcPr>
          <w:p w:rsidR="00DC664D" w:rsidRPr="00CA0EE6" w:rsidRDefault="00DC664D" w:rsidP="00CD3351">
            <w:pPr>
              <w:spacing w:line="360" w:lineRule="auto"/>
              <w:jc w:val="both"/>
              <w:rPr>
                <w:rFonts w:asciiTheme="majorBidi" w:hAnsiTheme="majorBidi"/>
                <w:bCs w:val="0"/>
                <w:color w:val="000000" w:themeColor="text1"/>
                <w:sz w:val="24"/>
                <w:szCs w:val="24"/>
                <w:shd w:val="clear" w:color="auto" w:fill="FFFFFF"/>
              </w:rPr>
            </w:pPr>
            <w:r w:rsidRPr="00CA0EE6">
              <w:rPr>
                <w:rFonts w:asciiTheme="majorBidi" w:hAnsiTheme="majorBidi"/>
                <w:bCs w:val="0"/>
                <w:color w:val="000000" w:themeColor="text1"/>
                <w:sz w:val="24"/>
                <w:szCs w:val="24"/>
                <w:shd w:val="clear" w:color="auto" w:fill="FFFFFF"/>
              </w:rPr>
              <w:t>Tension trop basse</w:t>
            </w:r>
          </w:p>
        </w:tc>
        <w:tc>
          <w:tcPr>
            <w:tcW w:w="1350" w:type="dxa"/>
            <w:shd w:val="clear" w:color="auto" w:fill="FFFFFF" w:themeFill="background1"/>
          </w:tcPr>
          <w:p w:rsidR="00DC664D" w:rsidRPr="00CA0EE6" w:rsidRDefault="00DC664D" w:rsidP="00CD3351">
            <w:pPr>
              <w:spacing w:line="360" w:lineRule="auto"/>
              <w:jc w:val="both"/>
              <w:cnfStyle w:val="000000100000"/>
              <w:rPr>
                <w:rFonts w:asciiTheme="majorBidi" w:hAnsiTheme="majorBidi" w:cs="Times New Roman"/>
                <w:b/>
                <w:color w:val="000000" w:themeColor="text1"/>
                <w:sz w:val="24"/>
                <w:szCs w:val="24"/>
                <w:shd w:val="clear" w:color="auto" w:fill="FFFFFF"/>
              </w:rPr>
            </w:pPr>
            <w:r w:rsidRPr="00CA0EE6">
              <w:rPr>
                <w:rFonts w:asciiTheme="majorBidi" w:hAnsiTheme="majorBidi" w:cs="Times New Roman"/>
                <w:b/>
                <w:color w:val="000000" w:themeColor="text1"/>
                <w:sz w:val="24"/>
                <w:szCs w:val="24"/>
                <w:shd w:val="clear" w:color="auto" w:fill="FFFFFF"/>
              </w:rPr>
              <w:t>↓100</w:t>
            </w:r>
          </w:p>
        </w:tc>
        <w:tc>
          <w:tcPr>
            <w:tcW w:w="1458" w:type="dxa"/>
            <w:shd w:val="clear" w:color="auto" w:fill="FFFFFF" w:themeFill="background1"/>
          </w:tcPr>
          <w:p w:rsidR="00DC664D" w:rsidRPr="00CA0EE6" w:rsidRDefault="00DC664D" w:rsidP="00CD3351">
            <w:pPr>
              <w:spacing w:line="360" w:lineRule="auto"/>
              <w:jc w:val="both"/>
              <w:cnfStyle w:val="00000010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 60</w:t>
            </w:r>
          </w:p>
        </w:tc>
        <w:tc>
          <w:tcPr>
            <w:tcW w:w="3795" w:type="dxa"/>
            <w:shd w:val="clear" w:color="auto" w:fill="FFFFFF" w:themeFill="background1"/>
          </w:tcPr>
          <w:p w:rsidR="00DC664D" w:rsidRPr="00CA0EE6" w:rsidRDefault="00DC664D" w:rsidP="00CD3351">
            <w:pPr>
              <w:spacing w:line="360" w:lineRule="auto"/>
              <w:jc w:val="both"/>
              <w:cnfStyle w:val="00000010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 xml:space="preserve">Consultation médicale </w:t>
            </w:r>
          </w:p>
        </w:tc>
      </w:tr>
      <w:tr w:rsidR="00DC664D" w:rsidTr="00CD3351">
        <w:trPr>
          <w:cnfStyle w:val="000000010000"/>
          <w:trHeight w:val="325"/>
        </w:trPr>
        <w:tc>
          <w:tcPr>
            <w:cnfStyle w:val="001000000000"/>
            <w:tcW w:w="3592" w:type="dxa"/>
            <w:shd w:val="clear" w:color="auto" w:fill="FFFFFF" w:themeFill="background1"/>
          </w:tcPr>
          <w:p w:rsidR="00DC664D" w:rsidRPr="00CA0EE6" w:rsidRDefault="00DC664D" w:rsidP="00CD3351">
            <w:pPr>
              <w:spacing w:line="360" w:lineRule="auto"/>
              <w:jc w:val="both"/>
              <w:rPr>
                <w:rFonts w:asciiTheme="majorBidi" w:hAnsiTheme="majorBidi"/>
                <w:bCs w:val="0"/>
                <w:color w:val="000000" w:themeColor="text1"/>
                <w:sz w:val="24"/>
                <w:szCs w:val="24"/>
                <w:shd w:val="clear" w:color="auto" w:fill="FFFFFF"/>
              </w:rPr>
            </w:pPr>
            <w:r w:rsidRPr="00CA0EE6">
              <w:rPr>
                <w:rFonts w:asciiTheme="majorBidi" w:hAnsiTheme="majorBidi"/>
                <w:bCs w:val="0"/>
                <w:color w:val="000000" w:themeColor="text1"/>
                <w:sz w:val="24"/>
                <w:szCs w:val="24"/>
                <w:shd w:val="clear" w:color="auto" w:fill="FFFFFF"/>
              </w:rPr>
              <w:t>Tension optimale</w:t>
            </w:r>
          </w:p>
        </w:tc>
        <w:tc>
          <w:tcPr>
            <w:tcW w:w="1350" w:type="dxa"/>
            <w:shd w:val="clear" w:color="auto" w:fill="FFFFFF" w:themeFill="background1"/>
          </w:tcPr>
          <w:p w:rsidR="00DC664D" w:rsidRPr="00CA0EE6" w:rsidRDefault="00DC664D" w:rsidP="00CD3351">
            <w:pPr>
              <w:spacing w:line="360" w:lineRule="auto"/>
              <w:jc w:val="both"/>
              <w:cnfStyle w:val="00000001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100 - 130</w:t>
            </w:r>
          </w:p>
        </w:tc>
        <w:tc>
          <w:tcPr>
            <w:tcW w:w="1458" w:type="dxa"/>
            <w:shd w:val="clear" w:color="auto" w:fill="FFFFFF" w:themeFill="background1"/>
          </w:tcPr>
          <w:p w:rsidR="00DC664D" w:rsidRPr="00CA0EE6" w:rsidRDefault="00DC664D" w:rsidP="00CD3351">
            <w:pPr>
              <w:spacing w:line="360" w:lineRule="auto"/>
              <w:jc w:val="both"/>
              <w:cnfStyle w:val="00000001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60 - 80</w:t>
            </w:r>
          </w:p>
        </w:tc>
        <w:tc>
          <w:tcPr>
            <w:tcW w:w="3795" w:type="dxa"/>
            <w:shd w:val="clear" w:color="auto" w:fill="FFFFFF" w:themeFill="background1"/>
          </w:tcPr>
          <w:p w:rsidR="00DC664D" w:rsidRPr="00CA0EE6" w:rsidRDefault="00DC664D" w:rsidP="00CD3351">
            <w:pPr>
              <w:spacing w:line="360" w:lineRule="auto"/>
              <w:jc w:val="both"/>
              <w:cnfStyle w:val="00000001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Consultation médicale</w:t>
            </w:r>
          </w:p>
        </w:tc>
      </w:tr>
      <w:tr w:rsidR="00DC664D" w:rsidTr="00CD3351">
        <w:trPr>
          <w:cnfStyle w:val="000000100000"/>
          <w:trHeight w:val="443"/>
        </w:trPr>
        <w:tc>
          <w:tcPr>
            <w:cnfStyle w:val="001000000000"/>
            <w:tcW w:w="3592" w:type="dxa"/>
            <w:shd w:val="clear" w:color="auto" w:fill="FFFFFF" w:themeFill="background1"/>
          </w:tcPr>
          <w:p w:rsidR="00DC664D" w:rsidRPr="00CA0EE6" w:rsidRDefault="00DC664D" w:rsidP="00CD3351">
            <w:pPr>
              <w:spacing w:line="360" w:lineRule="auto"/>
              <w:jc w:val="both"/>
              <w:rPr>
                <w:rFonts w:asciiTheme="majorBidi" w:hAnsiTheme="majorBidi"/>
                <w:bCs w:val="0"/>
                <w:color w:val="000000" w:themeColor="text1"/>
                <w:sz w:val="24"/>
                <w:szCs w:val="24"/>
                <w:shd w:val="clear" w:color="auto" w:fill="FFFFFF"/>
              </w:rPr>
            </w:pPr>
            <w:r w:rsidRPr="00CA0EE6">
              <w:rPr>
                <w:rFonts w:asciiTheme="majorBidi" w:hAnsiTheme="majorBidi"/>
                <w:bCs w:val="0"/>
                <w:color w:val="000000" w:themeColor="text1"/>
                <w:sz w:val="24"/>
                <w:szCs w:val="24"/>
                <w:shd w:val="clear" w:color="auto" w:fill="FFFFFF"/>
              </w:rPr>
              <w:t>Tension élevée</w:t>
            </w:r>
          </w:p>
        </w:tc>
        <w:tc>
          <w:tcPr>
            <w:tcW w:w="1350" w:type="dxa"/>
            <w:shd w:val="clear" w:color="auto" w:fill="FFFFFF" w:themeFill="background1"/>
          </w:tcPr>
          <w:p w:rsidR="00DC664D" w:rsidRPr="00CA0EE6" w:rsidRDefault="00DC664D" w:rsidP="00CD3351">
            <w:pPr>
              <w:spacing w:line="360" w:lineRule="auto"/>
              <w:jc w:val="both"/>
              <w:cnfStyle w:val="00000010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130 - 135</w:t>
            </w:r>
          </w:p>
        </w:tc>
        <w:tc>
          <w:tcPr>
            <w:tcW w:w="1458" w:type="dxa"/>
            <w:shd w:val="clear" w:color="auto" w:fill="FFFFFF" w:themeFill="background1"/>
          </w:tcPr>
          <w:p w:rsidR="00DC664D" w:rsidRPr="00CA0EE6" w:rsidRDefault="00DC664D" w:rsidP="00CD3351">
            <w:pPr>
              <w:spacing w:line="360" w:lineRule="auto"/>
              <w:jc w:val="both"/>
              <w:cnfStyle w:val="00000010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80 -  85</w:t>
            </w:r>
          </w:p>
        </w:tc>
        <w:tc>
          <w:tcPr>
            <w:tcW w:w="3795" w:type="dxa"/>
            <w:shd w:val="clear" w:color="auto" w:fill="FFFFFF" w:themeFill="background1"/>
          </w:tcPr>
          <w:p w:rsidR="00DC664D" w:rsidRPr="00CA0EE6" w:rsidRDefault="00DC664D" w:rsidP="00CD3351">
            <w:pPr>
              <w:spacing w:line="360" w:lineRule="auto"/>
              <w:jc w:val="both"/>
              <w:cnfStyle w:val="00000010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Contrôle personnel</w:t>
            </w:r>
          </w:p>
        </w:tc>
      </w:tr>
      <w:tr w:rsidR="00DC664D" w:rsidTr="00CD3351">
        <w:trPr>
          <w:cnfStyle w:val="000000010000"/>
          <w:trHeight w:val="409"/>
        </w:trPr>
        <w:tc>
          <w:tcPr>
            <w:cnfStyle w:val="001000000000"/>
            <w:tcW w:w="3592" w:type="dxa"/>
            <w:shd w:val="clear" w:color="auto" w:fill="FFFFFF" w:themeFill="background1"/>
          </w:tcPr>
          <w:p w:rsidR="00DC664D" w:rsidRPr="00CA0EE6" w:rsidRDefault="00DC664D" w:rsidP="00CD3351">
            <w:pPr>
              <w:spacing w:line="360" w:lineRule="auto"/>
              <w:jc w:val="both"/>
              <w:rPr>
                <w:rFonts w:asciiTheme="majorBidi" w:hAnsiTheme="majorBidi"/>
                <w:bCs w:val="0"/>
                <w:color w:val="000000" w:themeColor="text1"/>
                <w:sz w:val="24"/>
                <w:szCs w:val="24"/>
                <w:shd w:val="clear" w:color="auto" w:fill="FFFFFF"/>
              </w:rPr>
            </w:pPr>
            <w:r w:rsidRPr="00CA0EE6">
              <w:rPr>
                <w:rFonts w:asciiTheme="majorBidi" w:hAnsiTheme="majorBidi"/>
                <w:bCs w:val="0"/>
                <w:color w:val="000000" w:themeColor="text1"/>
                <w:sz w:val="24"/>
                <w:szCs w:val="24"/>
                <w:shd w:val="clear" w:color="auto" w:fill="FFFFFF"/>
              </w:rPr>
              <w:t>Tension trop haute</w:t>
            </w:r>
          </w:p>
        </w:tc>
        <w:tc>
          <w:tcPr>
            <w:tcW w:w="1350" w:type="dxa"/>
            <w:shd w:val="clear" w:color="auto" w:fill="FFFFFF" w:themeFill="background1"/>
          </w:tcPr>
          <w:p w:rsidR="00DC664D" w:rsidRPr="00CA0EE6" w:rsidRDefault="00DC664D" w:rsidP="00CD3351">
            <w:pPr>
              <w:spacing w:line="360" w:lineRule="auto"/>
              <w:jc w:val="both"/>
              <w:cnfStyle w:val="00000001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135 - 160</w:t>
            </w:r>
          </w:p>
        </w:tc>
        <w:tc>
          <w:tcPr>
            <w:tcW w:w="1458" w:type="dxa"/>
            <w:shd w:val="clear" w:color="auto" w:fill="FFFFFF" w:themeFill="background1"/>
          </w:tcPr>
          <w:p w:rsidR="00DC664D" w:rsidRPr="00CA0EE6" w:rsidRDefault="00DC664D" w:rsidP="00CD3351">
            <w:pPr>
              <w:spacing w:line="360" w:lineRule="auto"/>
              <w:jc w:val="both"/>
              <w:cnfStyle w:val="00000001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85 - 100</w:t>
            </w:r>
          </w:p>
        </w:tc>
        <w:tc>
          <w:tcPr>
            <w:tcW w:w="3795" w:type="dxa"/>
            <w:shd w:val="clear" w:color="auto" w:fill="FFFFFF" w:themeFill="background1"/>
          </w:tcPr>
          <w:p w:rsidR="00DC664D" w:rsidRPr="00CA0EE6" w:rsidRDefault="00DC664D" w:rsidP="00CD3351">
            <w:pPr>
              <w:spacing w:line="360" w:lineRule="auto"/>
              <w:jc w:val="both"/>
              <w:cnfStyle w:val="00000001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Consultation médicale</w:t>
            </w:r>
          </w:p>
        </w:tc>
      </w:tr>
      <w:tr w:rsidR="00DC664D" w:rsidTr="00CD3351">
        <w:trPr>
          <w:cnfStyle w:val="000000100000"/>
          <w:trHeight w:val="289"/>
        </w:trPr>
        <w:tc>
          <w:tcPr>
            <w:cnfStyle w:val="001000000000"/>
            <w:tcW w:w="3592" w:type="dxa"/>
            <w:shd w:val="clear" w:color="auto" w:fill="FFFFFF" w:themeFill="background1"/>
          </w:tcPr>
          <w:p w:rsidR="00DC664D" w:rsidRPr="00CA0EE6" w:rsidRDefault="00DC664D" w:rsidP="00CD3351">
            <w:pPr>
              <w:spacing w:line="360" w:lineRule="auto"/>
              <w:jc w:val="both"/>
              <w:rPr>
                <w:rFonts w:asciiTheme="majorBidi" w:hAnsiTheme="majorBidi"/>
                <w:bCs w:val="0"/>
                <w:color w:val="000000" w:themeColor="text1"/>
                <w:sz w:val="24"/>
                <w:szCs w:val="24"/>
                <w:shd w:val="clear" w:color="auto" w:fill="FFFFFF"/>
              </w:rPr>
            </w:pPr>
            <w:r w:rsidRPr="00CA0EE6">
              <w:rPr>
                <w:rFonts w:asciiTheme="majorBidi" w:hAnsiTheme="majorBidi"/>
                <w:bCs w:val="0"/>
                <w:color w:val="000000" w:themeColor="text1"/>
                <w:sz w:val="24"/>
                <w:szCs w:val="24"/>
                <w:shd w:val="clear" w:color="auto" w:fill="FFFFFF"/>
              </w:rPr>
              <w:t xml:space="preserve">Tension dangereusement haute  </w:t>
            </w:r>
          </w:p>
        </w:tc>
        <w:tc>
          <w:tcPr>
            <w:tcW w:w="1350" w:type="dxa"/>
            <w:shd w:val="clear" w:color="auto" w:fill="FFFFFF" w:themeFill="background1"/>
          </w:tcPr>
          <w:p w:rsidR="00DC664D" w:rsidRPr="00CA0EE6" w:rsidRDefault="00DC664D" w:rsidP="00CD3351">
            <w:pPr>
              <w:spacing w:line="360" w:lineRule="auto"/>
              <w:jc w:val="both"/>
              <w:cnfStyle w:val="00000010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160 ↑</w:t>
            </w:r>
          </w:p>
        </w:tc>
        <w:tc>
          <w:tcPr>
            <w:tcW w:w="1458" w:type="dxa"/>
            <w:shd w:val="clear" w:color="auto" w:fill="FFFFFF" w:themeFill="background1"/>
          </w:tcPr>
          <w:p w:rsidR="00DC664D" w:rsidRPr="00CA0EE6" w:rsidRDefault="00DC664D" w:rsidP="00CD3351">
            <w:pPr>
              <w:spacing w:line="360" w:lineRule="auto"/>
              <w:jc w:val="both"/>
              <w:cnfStyle w:val="00000010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100 ↑</w:t>
            </w:r>
          </w:p>
        </w:tc>
        <w:tc>
          <w:tcPr>
            <w:tcW w:w="3795" w:type="dxa"/>
            <w:shd w:val="clear" w:color="auto" w:fill="FFFFFF" w:themeFill="background1"/>
          </w:tcPr>
          <w:p w:rsidR="00DC664D" w:rsidRPr="00CA0EE6" w:rsidRDefault="00DC664D" w:rsidP="00CD3351">
            <w:pPr>
              <w:spacing w:line="360" w:lineRule="auto"/>
              <w:jc w:val="both"/>
              <w:cnfStyle w:val="000000100000"/>
              <w:rPr>
                <w:rFonts w:asciiTheme="majorBidi" w:hAnsiTheme="majorBidi" w:cs="Times New Roman"/>
                <w:b/>
                <w:sz w:val="24"/>
                <w:szCs w:val="24"/>
                <w:shd w:val="clear" w:color="auto" w:fill="FFFFFF"/>
              </w:rPr>
            </w:pPr>
            <w:r w:rsidRPr="00CA0EE6">
              <w:rPr>
                <w:rFonts w:asciiTheme="majorBidi" w:hAnsiTheme="majorBidi" w:cs="Times New Roman"/>
                <w:b/>
                <w:sz w:val="24"/>
                <w:szCs w:val="24"/>
                <w:shd w:val="clear" w:color="auto" w:fill="FFFFFF"/>
              </w:rPr>
              <w:t xml:space="preserve">Consultation médicale immédiate </w:t>
            </w:r>
          </w:p>
        </w:tc>
      </w:tr>
    </w:tbl>
    <w:p w:rsidR="00DC664D" w:rsidRDefault="00DC664D" w:rsidP="00DC664D">
      <w:pPr>
        <w:spacing w:line="360" w:lineRule="auto"/>
        <w:jc w:val="both"/>
        <w:rPr>
          <w:rFonts w:asciiTheme="majorBidi" w:hAnsiTheme="majorBidi" w:cs="Times New Roman"/>
          <w:bCs/>
          <w:color w:val="000000" w:themeColor="text1"/>
          <w:sz w:val="24"/>
          <w:szCs w:val="24"/>
          <w:shd w:val="clear" w:color="auto" w:fill="FFFFFF"/>
        </w:rPr>
      </w:pPr>
    </w:p>
    <w:p w:rsidR="00DC664D" w:rsidRPr="00691619" w:rsidRDefault="00DC664D" w:rsidP="00DC664D">
      <w:pPr>
        <w:spacing w:line="360" w:lineRule="auto"/>
        <w:jc w:val="both"/>
        <w:rPr>
          <w:rFonts w:asciiTheme="majorBidi" w:hAnsiTheme="majorBidi" w:cs="Times New Roman"/>
          <w:b/>
          <w:color w:val="7030A0"/>
          <w:sz w:val="24"/>
          <w:szCs w:val="24"/>
          <w:shd w:val="clear" w:color="auto" w:fill="FFFFFF"/>
        </w:rPr>
      </w:pPr>
      <w:r w:rsidRPr="00691619">
        <w:rPr>
          <w:rFonts w:asciiTheme="majorBidi" w:hAnsiTheme="majorBidi" w:cs="Times New Roman"/>
          <w:b/>
          <w:color w:val="7030A0"/>
          <w:sz w:val="24"/>
          <w:szCs w:val="24"/>
          <w:shd w:val="clear" w:color="auto" w:fill="FFFFFF"/>
        </w:rPr>
        <w:t>4.4. Le syndrome métabolique</w:t>
      </w:r>
    </w:p>
    <w:p w:rsidR="00DC664D" w:rsidRPr="00DF0C33" w:rsidRDefault="00DC664D" w:rsidP="00DC664D">
      <w:pPr>
        <w:spacing w:line="360" w:lineRule="auto"/>
        <w:ind w:firstLine="851"/>
        <w:jc w:val="both"/>
        <w:rPr>
          <w:rFonts w:asciiTheme="majorBidi" w:hAnsiTheme="majorBidi" w:cs="Times New Roman"/>
          <w:bCs/>
          <w:color w:val="000000" w:themeColor="text1"/>
          <w:sz w:val="24"/>
          <w:szCs w:val="24"/>
          <w:shd w:val="clear" w:color="auto" w:fill="FFFFFF"/>
        </w:rPr>
      </w:pPr>
      <w:r w:rsidRPr="00DF0C33">
        <w:rPr>
          <w:rFonts w:asciiTheme="majorBidi" w:hAnsiTheme="majorBidi" w:cs="Times New Roman"/>
          <w:bCs/>
          <w:color w:val="000000" w:themeColor="text1"/>
          <w:sz w:val="24"/>
          <w:szCs w:val="24"/>
          <w:shd w:val="clear" w:color="auto" w:fill="FFFFFF"/>
        </w:rPr>
        <w:t>Le syndrome métabolique est  désigné par la présence d’au moins trois paramètres sur cinq des paramètres suivants : (</w:t>
      </w:r>
      <w:r w:rsidRPr="007B366C">
        <w:rPr>
          <w:rFonts w:asciiTheme="majorBidi" w:hAnsiTheme="majorBidi" w:cs="Times New Roman"/>
          <w:b/>
          <w:bCs/>
        </w:rPr>
        <w:t>Fartoux et Serfaty, 2007).</w:t>
      </w:r>
    </w:p>
    <w:p w:rsidR="00DC664D" w:rsidRPr="00DF0C33" w:rsidRDefault="00DC664D" w:rsidP="00A21FB0">
      <w:pPr>
        <w:pStyle w:val="Paragraphedeliste"/>
        <w:numPr>
          <w:ilvl w:val="0"/>
          <w:numId w:val="10"/>
        </w:numPr>
        <w:spacing w:line="360" w:lineRule="auto"/>
        <w:ind w:left="567"/>
        <w:jc w:val="both"/>
        <w:rPr>
          <w:rFonts w:asciiTheme="majorBidi" w:hAnsiTheme="majorBidi" w:cs="Times New Roman"/>
          <w:bCs/>
          <w:sz w:val="24"/>
          <w:szCs w:val="24"/>
        </w:rPr>
      </w:pPr>
      <w:r w:rsidRPr="00DF0C33">
        <w:rPr>
          <w:rFonts w:asciiTheme="majorBidi" w:hAnsiTheme="majorBidi" w:cs="Times New Roman"/>
          <w:bCs/>
          <w:sz w:val="24"/>
          <w:szCs w:val="24"/>
        </w:rPr>
        <w:t xml:space="preserve">Tour de taille supérieur à 102 cm (hommes) et à 88 cm (femmes), </w:t>
      </w:r>
    </w:p>
    <w:p w:rsidR="00DC664D" w:rsidRPr="00DF0C33" w:rsidRDefault="00DC664D" w:rsidP="00A21FB0">
      <w:pPr>
        <w:pStyle w:val="Paragraphedeliste"/>
        <w:numPr>
          <w:ilvl w:val="0"/>
          <w:numId w:val="10"/>
        </w:numPr>
        <w:spacing w:line="360" w:lineRule="auto"/>
        <w:ind w:left="567"/>
        <w:jc w:val="both"/>
        <w:rPr>
          <w:rFonts w:asciiTheme="majorBidi" w:hAnsiTheme="majorBidi" w:cs="Times New Roman"/>
          <w:bCs/>
          <w:sz w:val="24"/>
          <w:szCs w:val="24"/>
        </w:rPr>
      </w:pPr>
      <w:r w:rsidRPr="00DF0C33">
        <w:rPr>
          <w:rFonts w:asciiTheme="majorBidi" w:hAnsiTheme="majorBidi" w:cs="Times New Roman"/>
          <w:bCs/>
          <w:sz w:val="24"/>
          <w:szCs w:val="24"/>
        </w:rPr>
        <w:t xml:space="preserve">Cholestérol HDL inférieur à 40 mg/dl (hommes) et à 50 mg/dl chez (femmes), </w:t>
      </w:r>
    </w:p>
    <w:p w:rsidR="00DC664D" w:rsidRPr="00DF0C33" w:rsidRDefault="00DC664D" w:rsidP="00A21FB0">
      <w:pPr>
        <w:pStyle w:val="Paragraphedeliste"/>
        <w:numPr>
          <w:ilvl w:val="0"/>
          <w:numId w:val="10"/>
        </w:numPr>
        <w:spacing w:line="360" w:lineRule="auto"/>
        <w:ind w:left="567"/>
        <w:jc w:val="both"/>
        <w:rPr>
          <w:rFonts w:asciiTheme="majorBidi" w:hAnsiTheme="majorBidi" w:cs="Times New Roman"/>
          <w:bCs/>
          <w:sz w:val="24"/>
          <w:szCs w:val="24"/>
        </w:rPr>
      </w:pPr>
      <w:r w:rsidRPr="00DF0C33">
        <w:rPr>
          <w:rFonts w:asciiTheme="majorBidi" w:hAnsiTheme="majorBidi" w:cs="Times New Roman"/>
          <w:bCs/>
          <w:sz w:val="24"/>
          <w:szCs w:val="24"/>
        </w:rPr>
        <w:t xml:space="preserve">Triglycérides supérieur à 150 mg/dl, </w:t>
      </w:r>
    </w:p>
    <w:p w:rsidR="00DC664D" w:rsidRPr="00DF0C33" w:rsidRDefault="00DC664D" w:rsidP="00A21FB0">
      <w:pPr>
        <w:pStyle w:val="Paragraphedeliste"/>
        <w:numPr>
          <w:ilvl w:val="0"/>
          <w:numId w:val="10"/>
        </w:numPr>
        <w:spacing w:line="360" w:lineRule="auto"/>
        <w:ind w:left="567"/>
        <w:jc w:val="both"/>
        <w:rPr>
          <w:rFonts w:asciiTheme="majorBidi" w:hAnsiTheme="majorBidi" w:cs="Times New Roman"/>
          <w:bCs/>
          <w:sz w:val="24"/>
          <w:szCs w:val="24"/>
        </w:rPr>
      </w:pPr>
      <w:r w:rsidRPr="00DF0C33">
        <w:rPr>
          <w:rFonts w:asciiTheme="majorBidi" w:hAnsiTheme="majorBidi" w:cs="Times New Roman"/>
          <w:bCs/>
          <w:sz w:val="24"/>
          <w:szCs w:val="24"/>
        </w:rPr>
        <w:t xml:space="preserve">Glycémie à jeun supérieur à 1 g/dl  </w:t>
      </w:r>
    </w:p>
    <w:p w:rsidR="00DC664D" w:rsidRPr="007D36F9" w:rsidRDefault="00DC664D" w:rsidP="00A21FB0">
      <w:pPr>
        <w:pStyle w:val="Paragraphedeliste"/>
        <w:numPr>
          <w:ilvl w:val="0"/>
          <w:numId w:val="10"/>
        </w:numPr>
        <w:spacing w:line="360" w:lineRule="auto"/>
        <w:ind w:left="567"/>
        <w:jc w:val="both"/>
        <w:rPr>
          <w:rFonts w:asciiTheme="majorBidi" w:hAnsiTheme="majorBidi" w:cs="Times New Roman"/>
          <w:bCs/>
          <w:sz w:val="24"/>
          <w:szCs w:val="24"/>
        </w:rPr>
      </w:pPr>
      <w:r w:rsidRPr="007D36F9">
        <w:rPr>
          <w:rFonts w:asciiTheme="majorBidi" w:hAnsiTheme="majorBidi" w:cs="Times New Roman"/>
          <w:bCs/>
          <w:sz w:val="24"/>
          <w:szCs w:val="24"/>
        </w:rPr>
        <w:t xml:space="preserve">Tension artérielle supérieur à 130-85 mm Hg  </w:t>
      </w:r>
    </w:p>
    <w:p w:rsidR="00DC664D" w:rsidRDefault="00DC664D" w:rsidP="00DC664D">
      <w:pPr>
        <w:spacing w:line="360" w:lineRule="auto"/>
        <w:jc w:val="both"/>
        <w:rPr>
          <w:rFonts w:asciiTheme="majorBidi" w:hAnsiTheme="majorBidi" w:cs="Times New Roman"/>
          <w:bCs/>
          <w:sz w:val="24"/>
          <w:szCs w:val="24"/>
        </w:rPr>
      </w:pPr>
      <w:r w:rsidRPr="00CA0EE6">
        <w:rPr>
          <w:rFonts w:asciiTheme="majorBidi" w:hAnsiTheme="majorBidi" w:cs="Times New Roman"/>
          <w:bCs/>
          <w:sz w:val="24"/>
          <w:szCs w:val="24"/>
        </w:rPr>
        <w:t xml:space="preserve">Dans notre étude nous avons pris en considération les trois paramètres suivants : </w:t>
      </w:r>
    </w:p>
    <w:p w:rsidR="00DC664D" w:rsidRPr="00CA0EE6" w:rsidRDefault="00DC664D" w:rsidP="00A21FB0">
      <w:pPr>
        <w:pStyle w:val="Paragraphedeliste"/>
        <w:numPr>
          <w:ilvl w:val="0"/>
          <w:numId w:val="12"/>
        </w:numPr>
        <w:spacing w:after="160" w:line="360" w:lineRule="auto"/>
        <w:ind w:left="567"/>
        <w:jc w:val="both"/>
        <w:rPr>
          <w:rFonts w:asciiTheme="majorBidi" w:hAnsiTheme="majorBidi" w:cs="Times New Roman"/>
          <w:bCs/>
          <w:sz w:val="24"/>
          <w:szCs w:val="24"/>
        </w:rPr>
      </w:pPr>
      <w:r w:rsidRPr="00CA0EE6">
        <w:rPr>
          <w:rFonts w:asciiTheme="majorBidi" w:hAnsiTheme="majorBidi" w:cs="Times New Roman"/>
          <w:bCs/>
          <w:sz w:val="24"/>
          <w:szCs w:val="24"/>
        </w:rPr>
        <w:t xml:space="preserve">Taux d’HDL inférieure à 0,5 g/l, </w:t>
      </w:r>
    </w:p>
    <w:p w:rsidR="00DC664D" w:rsidRPr="00CA0EE6" w:rsidRDefault="00DC664D" w:rsidP="00A21FB0">
      <w:pPr>
        <w:pStyle w:val="Paragraphedeliste"/>
        <w:numPr>
          <w:ilvl w:val="0"/>
          <w:numId w:val="12"/>
        </w:numPr>
        <w:spacing w:after="160" w:line="360" w:lineRule="auto"/>
        <w:ind w:left="567"/>
        <w:jc w:val="both"/>
        <w:rPr>
          <w:rFonts w:asciiTheme="majorBidi" w:hAnsiTheme="majorBidi" w:cs="Times New Roman"/>
          <w:bCs/>
          <w:sz w:val="24"/>
          <w:szCs w:val="24"/>
        </w:rPr>
      </w:pPr>
      <w:r w:rsidRPr="00CA0EE6">
        <w:rPr>
          <w:rFonts w:asciiTheme="majorBidi" w:hAnsiTheme="majorBidi" w:cs="Times New Roman"/>
          <w:bCs/>
          <w:sz w:val="24"/>
          <w:szCs w:val="24"/>
        </w:rPr>
        <w:t xml:space="preserve">triglycérides supérieur à 1,5 g/l </w:t>
      </w:r>
    </w:p>
    <w:p w:rsidR="00DC664D" w:rsidRPr="00CA0EE6" w:rsidRDefault="00DC664D" w:rsidP="00A21FB0">
      <w:pPr>
        <w:pStyle w:val="Paragraphedeliste"/>
        <w:numPr>
          <w:ilvl w:val="0"/>
          <w:numId w:val="12"/>
        </w:numPr>
        <w:spacing w:after="160" w:line="360" w:lineRule="auto"/>
        <w:ind w:left="567"/>
        <w:jc w:val="both"/>
        <w:rPr>
          <w:rFonts w:asciiTheme="majorBidi" w:hAnsiTheme="majorBidi" w:cs="Times New Roman"/>
          <w:bCs/>
          <w:sz w:val="24"/>
          <w:szCs w:val="24"/>
        </w:rPr>
      </w:pPr>
      <w:r w:rsidRPr="00CA0EE6">
        <w:rPr>
          <w:rFonts w:asciiTheme="majorBidi" w:hAnsiTheme="majorBidi" w:cs="Times New Roman"/>
          <w:bCs/>
          <w:sz w:val="24"/>
          <w:szCs w:val="24"/>
        </w:rPr>
        <w:t>tension artérielle supérieur à 130-85 mm Hg.</w:t>
      </w:r>
    </w:p>
    <w:p w:rsidR="00DC664D" w:rsidRPr="001968A0" w:rsidRDefault="00DC664D" w:rsidP="00DC664D">
      <w:pPr>
        <w:spacing w:line="360" w:lineRule="auto"/>
        <w:jc w:val="both"/>
        <w:rPr>
          <w:rFonts w:asciiTheme="majorBidi" w:hAnsiTheme="majorBidi" w:cs="Times New Roman"/>
          <w:b/>
          <w:bCs/>
          <w:color w:val="7030A0"/>
          <w:sz w:val="24"/>
          <w:szCs w:val="24"/>
        </w:rPr>
      </w:pPr>
      <w:r>
        <w:rPr>
          <w:rFonts w:asciiTheme="majorBidi" w:hAnsiTheme="majorBidi" w:cs="Times New Roman"/>
          <w:b/>
          <w:bCs/>
          <w:color w:val="7030A0"/>
          <w:sz w:val="24"/>
          <w:szCs w:val="24"/>
        </w:rPr>
        <w:lastRenderedPageBreak/>
        <w:t>5</w:t>
      </w:r>
      <w:r w:rsidRPr="001968A0">
        <w:rPr>
          <w:rFonts w:asciiTheme="majorBidi" w:hAnsiTheme="majorBidi" w:cs="Times New Roman"/>
          <w:b/>
          <w:bCs/>
          <w:color w:val="7030A0"/>
          <w:sz w:val="24"/>
          <w:szCs w:val="24"/>
        </w:rPr>
        <w:t>. Prélèvement sanguin</w:t>
      </w:r>
    </w:p>
    <w:p w:rsidR="00DC664D" w:rsidRPr="00551628" w:rsidRDefault="00DC664D" w:rsidP="00DC664D">
      <w:pPr>
        <w:spacing w:line="360" w:lineRule="auto"/>
        <w:jc w:val="both"/>
        <w:rPr>
          <w:rFonts w:asciiTheme="majorBidi" w:hAnsiTheme="majorBidi" w:cs="Times New Roman"/>
          <w:bCs/>
          <w:color w:val="000000" w:themeColor="text1"/>
          <w:sz w:val="24"/>
          <w:szCs w:val="24"/>
          <w:shd w:val="clear" w:color="auto" w:fill="FFFFFF"/>
        </w:rPr>
      </w:pPr>
      <w:r w:rsidRPr="00551628">
        <w:rPr>
          <w:rFonts w:asciiTheme="majorBidi" w:hAnsiTheme="majorBidi" w:cs="Times New Roman"/>
          <w:bCs/>
          <w:color w:val="000000" w:themeColor="text1"/>
          <w:sz w:val="24"/>
          <w:szCs w:val="24"/>
          <w:shd w:val="clear" w:color="auto" w:fill="FFFFFF"/>
        </w:rPr>
        <w:t xml:space="preserve">             Pour réaliser un dosage des paramètres hépatiques des patients, nous  avons  procédé  à  des prélèvements sanguins des patients et des témoins  enquêtés.</w:t>
      </w:r>
    </w:p>
    <w:p w:rsidR="00DC664D" w:rsidRPr="00551628" w:rsidRDefault="00DC664D" w:rsidP="00DC664D">
      <w:pPr>
        <w:spacing w:line="360" w:lineRule="auto"/>
        <w:ind w:firstLine="851"/>
        <w:jc w:val="both"/>
        <w:rPr>
          <w:rFonts w:asciiTheme="majorBidi" w:hAnsiTheme="majorBidi" w:cs="Times New Roman"/>
          <w:bCs/>
          <w:color w:val="000000" w:themeColor="text1"/>
          <w:sz w:val="24"/>
          <w:szCs w:val="24"/>
          <w:shd w:val="clear" w:color="auto" w:fill="FFFFFF"/>
        </w:rPr>
      </w:pPr>
      <w:r w:rsidRPr="00551628">
        <w:rPr>
          <w:rFonts w:asciiTheme="majorBidi" w:hAnsiTheme="majorBidi" w:cs="Times New Roman"/>
          <w:bCs/>
          <w:color w:val="000000" w:themeColor="text1"/>
          <w:sz w:val="24"/>
          <w:szCs w:val="24"/>
          <w:shd w:val="clear" w:color="auto" w:fill="FFFFFF"/>
        </w:rPr>
        <w:t>Pour  chacun,  le  prélèvement  a  été  réalisé  par  ponction  veineuse  au  pli  du coude  et à jeun. Il s’agit du prélèvement sur tube sec utilisé pour déterminer la glycémie</w:t>
      </w:r>
      <w:r>
        <w:rPr>
          <w:rFonts w:asciiTheme="majorBidi" w:hAnsiTheme="majorBidi" w:cs="Times New Roman"/>
          <w:bCs/>
          <w:color w:val="000000" w:themeColor="text1"/>
          <w:sz w:val="24"/>
          <w:szCs w:val="24"/>
          <w:shd w:val="clear" w:color="auto" w:fill="FFFFFF"/>
        </w:rPr>
        <w:t xml:space="preserve">, </w:t>
      </w:r>
      <w:r w:rsidRPr="00551628">
        <w:rPr>
          <w:rFonts w:asciiTheme="majorBidi" w:hAnsiTheme="majorBidi" w:cs="Times New Roman"/>
          <w:bCs/>
          <w:color w:val="000000" w:themeColor="text1"/>
          <w:sz w:val="24"/>
          <w:szCs w:val="24"/>
          <w:shd w:val="clear" w:color="auto" w:fill="FFFFFF"/>
        </w:rPr>
        <w:t>le dosage biochimique du bilan hépatique et lipidique.</w:t>
      </w:r>
    </w:p>
    <w:p w:rsidR="00DC664D" w:rsidRPr="00335B0C" w:rsidRDefault="00DC664D" w:rsidP="00DC664D">
      <w:pPr>
        <w:shd w:val="clear" w:color="auto" w:fill="FFFFFF"/>
        <w:spacing w:after="0" w:line="360" w:lineRule="auto"/>
        <w:jc w:val="both"/>
        <w:outlineLvl w:val="2"/>
        <w:rPr>
          <w:rFonts w:asciiTheme="majorBidi" w:hAnsiTheme="majorBidi" w:cs="Times New Roman"/>
          <w:bCs/>
          <w:color w:val="000000" w:themeColor="text1"/>
          <w:sz w:val="24"/>
          <w:szCs w:val="24"/>
          <w:shd w:val="clear" w:color="auto" w:fill="FFFFFF"/>
        </w:rPr>
      </w:pPr>
      <w:r w:rsidRPr="00551628">
        <w:rPr>
          <w:rFonts w:asciiTheme="majorBidi" w:hAnsiTheme="majorBidi" w:cs="Times New Roman"/>
          <w:bCs/>
          <w:color w:val="000000" w:themeColor="text1"/>
          <w:sz w:val="24"/>
          <w:szCs w:val="24"/>
          <w:shd w:val="clear" w:color="auto" w:fill="FFFFFF"/>
        </w:rPr>
        <w:t xml:space="preserve">              Après le prélèvementsanguin</w:t>
      </w:r>
      <w:r>
        <w:rPr>
          <w:rFonts w:asciiTheme="majorBidi" w:hAnsiTheme="majorBidi" w:cs="Times New Roman"/>
          <w:bCs/>
          <w:color w:val="000000" w:themeColor="text1"/>
          <w:sz w:val="24"/>
          <w:szCs w:val="24"/>
          <w:shd w:val="clear" w:color="auto" w:fill="FFFFFF"/>
        </w:rPr>
        <w:t xml:space="preserve">, les </w:t>
      </w:r>
      <w:r w:rsidRPr="00551628">
        <w:rPr>
          <w:rFonts w:asciiTheme="majorBidi" w:hAnsiTheme="majorBidi" w:cs="Times New Roman"/>
          <w:bCs/>
          <w:color w:val="000000" w:themeColor="text1"/>
          <w:sz w:val="24"/>
          <w:szCs w:val="24"/>
          <w:shd w:val="clear" w:color="auto" w:fill="FFFFFF"/>
        </w:rPr>
        <w:t xml:space="preserve">tubes </w:t>
      </w:r>
      <w:r>
        <w:rPr>
          <w:rFonts w:asciiTheme="majorBidi" w:hAnsiTheme="majorBidi" w:cs="Times New Roman"/>
          <w:bCs/>
          <w:color w:val="000000" w:themeColor="text1"/>
          <w:sz w:val="24"/>
          <w:szCs w:val="24"/>
          <w:shd w:val="clear" w:color="auto" w:fill="FFFFFF"/>
        </w:rPr>
        <w:t xml:space="preserve">ont été placés dans </w:t>
      </w:r>
      <w:r w:rsidRPr="00551628">
        <w:rPr>
          <w:rFonts w:asciiTheme="majorBidi" w:hAnsiTheme="majorBidi" w:cs="Times New Roman"/>
          <w:bCs/>
          <w:color w:val="000000" w:themeColor="text1"/>
          <w:sz w:val="24"/>
          <w:szCs w:val="24"/>
          <w:shd w:val="clear" w:color="auto" w:fill="FFFFFF"/>
        </w:rPr>
        <w:t xml:space="preserve"> la centrifugeuse (</w:t>
      </w:r>
      <w:hyperlink r:id="rId51" w:history="1">
        <w:r w:rsidRPr="00551628">
          <w:rPr>
            <w:rFonts w:ascii="Times New Roman" w:hAnsi="Times New Roman" w:cs="Times New Roman"/>
            <w:sz w:val="24"/>
            <w:szCs w:val="24"/>
            <w:lang w:eastAsia="fr-FR"/>
          </w:rPr>
          <w:t>Centrifugeuse NF 200 | NÜVE</w:t>
        </w:r>
      </w:hyperlink>
      <w:r w:rsidRPr="00551628">
        <w:rPr>
          <w:rFonts w:asciiTheme="majorBidi" w:hAnsiTheme="majorBidi" w:cs="Times New Roman"/>
          <w:bCs/>
          <w:color w:val="000000" w:themeColor="text1"/>
          <w:sz w:val="24"/>
          <w:szCs w:val="24"/>
          <w:shd w:val="clear" w:color="auto" w:fill="FFFFFF"/>
        </w:rPr>
        <w:t xml:space="preserve"> ) pendant 5min à 3000 tours/min à 8°c</w:t>
      </w:r>
      <w:r>
        <w:rPr>
          <w:rFonts w:asciiTheme="majorBidi" w:hAnsiTheme="majorBidi" w:cs="Times New Roman"/>
          <w:bCs/>
          <w:color w:val="000000" w:themeColor="text1"/>
          <w:sz w:val="24"/>
          <w:szCs w:val="24"/>
          <w:shd w:val="clear" w:color="auto" w:fill="FFFFFF"/>
        </w:rPr>
        <w:t xml:space="preserve"> pour récupérer le sérum. </w:t>
      </w:r>
      <w:r w:rsidRPr="00335B0C">
        <w:rPr>
          <w:rFonts w:asciiTheme="majorBidi" w:hAnsiTheme="majorBidi" w:cs="Times New Roman"/>
          <w:bCs/>
          <w:color w:val="000000" w:themeColor="text1"/>
          <w:sz w:val="24"/>
          <w:szCs w:val="24"/>
          <w:shd w:val="clear" w:color="auto" w:fill="FFFFFF"/>
        </w:rPr>
        <w:t xml:space="preserve">Toutes les analyses  biologiques des patients et des témoins  ont  été  effectuées  au  niveau  du  laboratoire  d’analyses médicales de l’hôpital de </w:t>
      </w:r>
      <w:r w:rsidRPr="00335B0C">
        <w:rPr>
          <w:rFonts w:asciiTheme="majorBidi" w:hAnsiTheme="majorBidi" w:cs="Times New Roman"/>
          <w:b/>
          <w:color w:val="000000" w:themeColor="text1"/>
          <w:sz w:val="24"/>
          <w:szCs w:val="24"/>
          <w:shd w:val="clear" w:color="auto" w:fill="FFFFFF"/>
        </w:rPr>
        <w:t>BouguerraBoulaaras.</w:t>
      </w:r>
    </w:p>
    <w:p w:rsidR="00DC664D" w:rsidRPr="00551628" w:rsidRDefault="00DC664D" w:rsidP="00DC664D">
      <w:pPr>
        <w:shd w:val="clear" w:color="auto" w:fill="FFFFFF"/>
        <w:spacing w:after="0" w:line="360" w:lineRule="auto"/>
        <w:outlineLvl w:val="2"/>
        <w:rPr>
          <w:rFonts w:asciiTheme="majorBidi" w:hAnsiTheme="majorBidi" w:cs="Times New Roman"/>
          <w:bCs/>
          <w:color w:val="000000" w:themeColor="text1"/>
          <w:sz w:val="24"/>
          <w:szCs w:val="24"/>
          <w:shd w:val="clear" w:color="auto" w:fill="FFFFFF"/>
        </w:rPr>
      </w:pPr>
    </w:p>
    <w:p w:rsidR="00DC664D" w:rsidRPr="00F82561" w:rsidRDefault="00DC664D" w:rsidP="00DC664D">
      <w:pPr>
        <w:spacing w:line="360" w:lineRule="auto"/>
        <w:jc w:val="both"/>
        <w:rPr>
          <w:rFonts w:ascii="Times New Roman" w:hAnsi="Times New Roman" w:cs="Times New Roman"/>
          <w:b/>
          <w:bCs/>
          <w:color w:val="7030A0"/>
          <w:sz w:val="24"/>
          <w:szCs w:val="24"/>
        </w:rPr>
      </w:pPr>
      <w:r w:rsidRPr="00F82561">
        <w:rPr>
          <w:rFonts w:ascii="Times New Roman" w:hAnsi="Times New Roman" w:cs="Times New Roman"/>
          <w:b/>
          <w:bCs/>
          <w:color w:val="7030A0"/>
          <w:sz w:val="24"/>
          <w:szCs w:val="24"/>
        </w:rPr>
        <w:t xml:space="preserve">5.1. Dosage des paramètres hépatiques et lipidiques </w:t>
      </w:r>
    </w:p>
    <w:p w:rsidR="00DC664D" w:rsidRDefault="00DC664D" w:rsidP="00DC664D">
      <w:pPr>
        <w:spacing w:line="360" w:lineRule="auto"/>
        <w:jc w:val="both"/>
        <w:rPr>
          <w:rFonts w:ascii="Times New Roman" w:hAnsi="Times New Roman" w:cs="Times New Roman"/>
          <w:b/>
          <w:bCs/>
          <w:sz w:val="24"/>
          <w:szCs w:val="24"/>
        </w:rPr>
      </w:pPr>
      <w:r>
        <w:rPr>
          <w:rFonts w:ascii="Times New Roman" w:hAnsi="Times New Roman" w:cs="Times New Roman"/>
          <w:sz w:val="24"/>
          <w:szCs w:val="24"/>
        </w:rPr>
        <w:t>Pour la majorité des analyses, l</w:t>
      </w:r>
      <w:r w:rsidRPr="00551628">
        <w:rPr>
          <w:rFonts w:ascii="Times New Roman" w:hAnsi="Times New Roman" w:cs="Times New Roman"/>
          <w:sz w:val="24"/>
          <w:szCs w:val="24"/>
        </w:rPr>
        <w:t xml:space="preserve">’appareil </w:t>
      </w:r>
      <w:r>
        <w:rPr>
          <w:rFonts w:ascii="Times New Roman" w:hAnsi="Times New Roman" w:cs="Times New Roman"/>
          <w:sz w:val="24"/>
          <w:szCs w:val="24"/>
        </w:rPr>
        <w:t xml:space="preserve">utilisé est </w:t>
      </w:r>
      <w:r w:rsidRPr="00551628">
        <w:rPr>
          <w:rFonts w:ascii="Times New Roman" w:hAnsi="Times New Roman" w:cs="Times New Roman"/>
          <w:sz w:val="24"/>
          <w:szCs w:val="24"/>
        </w:rPr>
        <w:t xml:space="preserve">l’automate </w:t>
      </w:r>
      <w:r w:rsidRPr="00F82561">
        <w:rPr>
          <w:rFonts w:ascii="Times New Roman" w:hAnsi="Times New Roman" w:cs="Times New Roman"/>
          <w:b/>
          <w:bCs/>
          <w:i/>
          <w:iCs/>
          <w:sz w:val="24"/>
          <w:szCs w:val="24"/>
        </w:rPr>
        <w:t>MINDRAY BC 5300</w:t>
      </w:r>
      <w:r>
        <w:rPr>
          <w:rFonts w:ascii="Times New Roman" w:hAnsi="Times New Roman" w:cs="Times New Roman"/>
          <w:b/>
          <w:bCs/>
          <w:sz w:val="24"/>
          <w:szCs w:val="24"/>
        </w:rPr>
        <w:t xml:space="preserve">. </w:t>
      </w:r>
    </w:p>
    <w:p w:rsidR="00DC664D" w:rsidRPr="00905735" w:rsidRDefault="00DC664D" w:rsidP="00DC664D">
      <w:pPr>
        <w:spacing w:line="360" w:lineRule="auto"/>
        <w:jc w:val="both"/>
        <w:rPr>
          <w:rFonts w:ascii="Times New Roman" w:hAnsi="Times New Roman" w:cs="Times New Roman"/>
          <w:sz w:val="24"/>
          <w:szCs w:val="24"/>
        </w:rPr>
      </w:pPr>
      <w:r w:rsidRPr="00905735">
        <w:rPr>
          <w:rFonts w:ascii="Times New Roman" w:hAnsi="Times New Roman" w:cs="Times New Roman"/>
          <w:sz w:val="24"/>
          <w:szCs w:val="24"/>
        </w:rPr>
        <w:t>Pour toutes les analyses réalisées par l’automate</w:t>
      </w:r>
      <w:r>
        <w:rPr>
          <w:rFonts w:ascii="Times New Roman" w:hAnsi="Times New Roman" w:cs="Times New Roman"/>
          <w:sz w:val="24"/>
          <w:szCs w:val="24"/>
        </w:rPr>
        <w:t xml:space="preserve">, </w:t>
      </w:r>
      <w:r w:rsidRPr="00905735">
        <w:rPr>
          <w:rFonts w:ascii="Times New Roman" w:hAnsi="Times New Roman" w:cs="Times New Roman"/>
          <w:sz w:val="24"/>
          <w:szCs w:val="24"/>
        </w:rPr>
        <w:t xml:space="preserve"> seu</w:t>
      </w:r>
      <w:r>
        <w:rPr>
          <w:rFonts w:ascii="Times New Roman" w:hAnsi="Times New Roman" w:cs="Times New Roman"/>
          <w:sz w:val="24"/>
          <w:szCs w:val="24"/>
        </w:rPr>
        <w:t>le</w:t>
      </w:r>
      <w:r w:rsidRPr="00905735">
        <w:rPr>
          <w:rFonts w:ascii="Times New Roman" w:hAnsi="Times New Roman" w:cs="Times New Roman"/>
          <w:sz w:val="24"/>
          <w:szCs w:val="24"/>
        </w:rPr>
        <w:t>ment le principe, les réactifs, le calcul du paramètre et les valeurs usuelles sont indiqués. En revanche pour les analyses effectuées manuellement le m</w:t>
      </w:r>
      <w:r>
        <w:rPr>
          <w:rFonts w:ascii="Times New Roman" w:hAnsi="Times New Roman" w:cs="Times New Roman"/>
          <w:sz w:val="24"/>
          <w:szCs w:val="24"/>
        </w:rPr>
        <w:t>ode opératoire est ainsi indiqué.</w:t>
      </w:r>
    </w:p>
    <w:p w:rsidR="00DC664D" w:rsidRPr="003669D4" w:rsidRDefault="00DC664D" w:rsidP="00DC664D">
      <w:pPr>
        <w:spacing w:line="360" w:lineRule="auto"/>
        <w:jc w:val="both"/>
        <w:rPr>
          <w:rFonts w:asciiTheme="majorBidi" w:hAnsiTheme="majorBidi" w:cs="Times New Roman"/>
          <w:b/>
          <w:bCs/>
          <w:color w:val="7030A0"/>
          <w:sz w:val="24"/>
          <w:szCs w:val="24"/>
        </w:rPr>
      </w:pPr>
      <w:r w:rsidRPr="003669D4">
        <w:rPr>
          <w:rFonts w:asciiTheme="majorBidi" w:hAnsiTheme="majorBidi" w:cs="Times New Roman"/>
          <w:b/>
          <w:bCs/>
          <w:color w:val="7030A0"/>
          <w:sz w:val="24"/>
          <w:szCs w:val="24"/>
        </w:rPr>
        <w:t>5.1.</w:t>
      </w:r>
      <w:r>
        <w:rPr>
          <w:rFonts w:asciiTheme="majorBidi" w:hAnsiTheme="majorBidi" w:cs="Times New Roman"/>
          <w:b/>
          <w:bCs/>
          <w:color w:val="7030A0"/>
          <w:sz w:val="24"/>
          <w:szCs w:val="24"/>
        </w:rPr>
        <w:t>1.</w:t>
      </w:r>
      <w:r w:rsidRPr="003669D4">
        <w:rPr>
          <w:rFonts w:asciiTheme="majorBidi" w:hAnsiTheme="majorBidi" w:cs="Times New Roman"/>
          <w:b/>
          <w:bCs/>
          <w:color w:val="7030A0"/>
          <w:sz w:val="24"/>
          <w:szCs w:val="24"/>
        </w:rPr>
        <w:t xml:space="preserve"> Dosage des transaminases </w:t>
      </w:r>
    </w:p>
    <w:p w:rsidR="00DC664D" w:rsidRDefault="00DC664D" w:rsidP="00DC664D">
      <w:pPr>
        <w:spacing w:line="360" w:lineRule="auto"/>
        <w:jc w:val="both"/>
        <w:rPr>
          <w:rFonts w:asciiTheme="majorBidi" w:hAnsiTheme="majorBidi" w:cs="Times New Roman"/>
          <w:b/>
          <w:bCs/>
          <w:sz w:val="24"/>
          <w:szCs w:val="24"/>
        </w:rPr>
      </w:pPr>
      <w:r w:rsidRPr="009E3355">
        <w:rPr>
          <w:rFonts w:asciiTheme="majorBidi" w:hAnsiTheme="majorBidi" w:cs="Times New Roman"/>
          <w:b/>
          <w:bCs/>
          <w:sz w:val="24"/>
          <w:szCs w:val="24"/>
        </w:rPr>
        <w:t>5.1.1.</w:t>
      </w:r>
      <w:r>
        <w:rPr>
          <w:rFonts w:asciiTheme="majorBidi" w:hAnsiTheme="majorBidi" w:cs="Times New Roman"/>
          <w:b/>
          <w:bCs/>
          <w:sz w:val="24"/>
          <w:szCs w:val="24"/>
        </w:rPr>
        <w:t>1.</w:t>
      </w:r>
      <w:r w:rsidRPr="009E3355">
        <w:rPr>
          <w:rFonts w:asciiTheme="majorBidi" w:hAnsiTheme="majorBidi" w:cs="Times New Roman"/>
          <w:b/>
          <w:bCs/>
          <w:sz w:val="24"/>
          <w:szCs w:val="24"/>
        </w:rPr>
        <w:t xml:space="preserve"> Dosage de l’aspart</w:t>
      </w:r>
      <w:r>
        <w:rPr>
          <w:rFonts w:asciiTheme="majorBidi" w:hAnsiTheme="majorBidi" w:cs="Times New Roman"/>
          <w:b/>
          <w:bCs/>
          <w:sz w:val="24"/>
          <w:szCs w:val="24"/>
        </w:rPr>
        <w:t xml:space="preserve">ate- </w:t>
      </w:r>
      <w:r w:rsidRPr="009E3355">
        <w:rPr>
          <w:rFonts w:asciiTheme="majorBidi" w:hAnsiTheme="majorBidi" w:cs="Times New Roman"/>
          <w:b/>
          <w:bCs/>
          <w:sz w:val="24"/>
          <w:szCs w:val="24"/>
        </w:rPr>
        <w:t>amino</w:t>
      </w:r>
      <w:r>
        <w:rPr>
          <w:rFonts w:asciiTheme="majorBidi" w:hAnsiTheme="majorBidi" w:cs="Times New Roman"/>
          <w:b/>
          <w:bCs/>
          <w:sz w:val="24"/>
          <w:szCs w:val="24"/>
        </w:rPr>
        <w:t xml:space="preserve">- </w:t>
      </w:r>
      <w:r w:rsidRPr="009E3355">
        <w:rPr>
          <w:rFonts w:asciiTheme="majorBidi" w:hAnsiTheme="majorBidi" w:cs="Times New Roman"/>
          <w:b/>
          <w:bCs/>
          <w:sz w:val="24"/>
          <w:szCs w:val="24"/>
        </w:rPr>
        <w:t>tra</w:t>
      </w:r>
      <w:r>
        <w:rPr>
          <w:rFonts w:asciiTheme="majorBidi" w:hAnsiTheme="majorBidi" w:cs="Times New Roman"/>
          <w:b/>
          <w:bCs/>
          <w:sz w:val="24"/>
          <w:szCs w:val="24"/>
        </w:rPr>
        <w:t>n</w:t>
      </w:r>
      <w:r w:rsidRPr="009E3355">
        <w:rPr>
          <w:rFonts w:asciiTheme="majorBidi" w:hAnsiTheme="majorBidi" w:cs="Times New Roman"/>
          <w:b/>
          <w:bCs/>
          <w:sz w:val="24"/>
          <w:szCs w:val="24"/>
        </w:rPr>
        <w:t xml:space="preserve">sférase (ASAT ou TGO) </w:t>
      </w:r>
    </w:p>
    <w:p w:rsidR="00DC664D" w:rsidRPr="00D52145" w:rsidRDefault="00DC664D" w:rsidP="00A21FB0">
      <w:pPr>
        <w:pStyle w:val="Paragraphedeliste"/>
        <w:numPr>
          <w:ilvl w:val="0"/>
          <w:numId w:val="13"/>
        </w:numPr>
        <w:spacing w:after="160" w:line="360" w:lineRule="auto"/>
        <w:jc w:val="both"/>
        <w:rPr>
          <w:rFonts w:asciiTheme="majorBidi" w:hAnsiTheme="majorBidi" w:cs="Times New Roman"/>
          <w:b/>
          <w:bCs/>
          <w:i/>
          <w:iCs/>
          <w:sz w:val="24"/>
          <w:szCs w:val="24"/>
        </w:rPr>
      </w:pPr>
      <w:r w:rsidRPr="00D52145">
        <w:rPr>
          <w:rFonts w:asciiTheme="majorBidi" w:hAnsiTheme="majorBidi" w:cs="Times New Roman"/>
          <w:b/>
          <w:i/>
          <w:iCs/>
          <w:color w:val="000000" w:themeColor="text1"/>
          <w:sz w:val="24"/>
          <w:szCs w:val="24"/>
          <w:shd w:val="clear" w:color="auto" w:fill="FFFFFF"/>
        </w:rPr>
        <w:t xml:space="preserve">Principe </w:t>
      </w:r>
    </w:p>
    <w:p w:rsidR="00DC664D" w:rsidRPr="00551628" w:rsidRDefault="00824C86" w:rsidP="00DC664D">
      <w:pPr>
        <w:spacing w:line="360" w:lineRule="auto"/>
        <w:ind w:firstLine="720"/>
        <w:jc w:val="both"/>
        <w:rPr>
          <w:rFonts w:asciiTheme="majorBidi" w:hAnsiTheme="majorBidi" w:cs="Times New Roman"/>
          <w:bCs/>
          <w:color w:val="000000" w:themeColor="text1"/>
          <w:sz w:val="24"/>
          <w:szCs w:val="24"/>
          <w:shd w:val="clear" w:color="auto" w:fill="FFFFFF"/>
        </w:rPr>
      </w:pPr>
      <w:r w:rsidRPr="00824C86">
        <w:rPr>
          <w:noProof/>
          <w:lang w:eastAsia="fr-FR"/>
        </w:rPr>
        <w:pict>
          <v:rect id="Rectangle 45" o:spid="_x0000_s1048" style="position:absolute;left:0;text-align:left;margin-left:-10pt;margin-top:41.75pt;width:453.5pt;height:153.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" filled="f"/>
        </w:pict>
      </w:r>
      <w:r w:rsidR="00DC664D" w:rsidRPr="00551628">
        <w:rPr>
          <w:rFonts w:asciiTheme="majorBidi" w:hAnsiTheme="majorBidi" w:cs="Times New Roman"/>
          <w:bCs/>
          <w:color w:val="000000" w:themeColor="text1"/>
          <w:sz w:val="24"/>
          <w:szCs w:val="24"/>
          <w:shd w:val="clear" w:color="auto" w:fill="FFFFFF"/>
        </w:rPr>
        <w:t>L’aspartate</w:t>
      </w:r>
      <w:r w:rsidR="00DC664D">
        <w:rPr>
          <w:rFonts w:asciiTheme="majorBidi" w:hAnsiTheme="majorBidi" w:cs="Times New Roman"/>
          <w:bCs/>
          <w:color w:val="000000" w:themeColor="text1"/>
          <w:sz w:val="24"/>
          <w:szCs w:val="24"/>
          <w:shd w:val="clear" w:color="auto" w:fill="FFFFFF"/>
        </w:rPr>
        <w:t xml:space="preserve">- </w:t>
      </w:r>
      <w:r w:rsidR="00DC664D" w:rsidRPr="00551628">
        <w:rPr>
          <w:rFonts w:asciiTheme="majorBidi" w:hAnsiTheme="majorBidi" w:cs="Times New Roman"/>
          <w:bCs/>
          <w:color w:val="000000" w:themeColor="text1"/>
          <w:sz w:val="24"/>
          <w:szCs w:val="24"/>
          <w:shd w:val="clear" w:color="auto" w:fill="FFFFFF"/>
        </w:rPr>
        <w:t>amino</w:t>
      </w:r>
      <w:r w:rsidR="00DC664D">
        <w:rPr>
          <w:rFonts w:asciiTheme="majorBidi" w:hAnsiTheme="majorBidi" w:cs="Times New Roman"/>
          <w:bCs/>
          <w:color w:val="000000" w:themeColor="text1"/>
          <w:sz w:val="24"/>
          <w:szCs w:val="24"/>
          <w:shd w:val="clear" w:color="auto" w:fill="FFFFFF"/>
        </w:rPr>
        <w:t xml:space="preserve">- </w:t>
      </w:r>
      <w:r w:rsidR="00DC664D" w:rsidRPr="00551628">
        <w:rPr>
          <w:rFonts w:asciiTheme="majorBidi" w:hAnsiTheme="majorBidi" w:cs="Times New Roman"/>
          <w:bCs/>
          <w:color w:val="000000" w:themeColor="text1"/>
          <w:sz w:val="24"/>
          <w:szCs w:val="24"/>
          <w:shd w:val="clear" w:color="auto" w:fill="FFFFFF"/>
        </w:rPr>
        <w:t>transferase est  dosé</w:t>
      </w:r>
      <w:r w:rsidR="00DC664D">
        <w:rPr>
          <w:rFonts w:asciiTheme="majorBidi" w:hAnsiTheme="majorBidi" w:cs="Times New Roman"/>
          <w:bCs/>
          <w:color w:val="000000" w:themeColor="text1"/>
          <w:sz w:val="24"/>
          <w:szCs w:val="24"/>
          <w:shd w:val="clear" w:color="auto" w:fill="FFFFFF"/>
        </w:rPr>
        <w:t>e</w:t>
      </w:r>
      <w:r w:rsidR="00DC664D" w:rsidRPr="00551628">
        <w:rPr>
          <w:rFonts w:asciiTheme="majorBidi" w:hAnsiTheme="majorBidi" w:cs="Times New Roman"/>
          <w:bCs/>
          <w:color w:val="000000" w:themeColor="text1"/>
          <w:sz w:val="24"/>
          <w:szCs w:val="24"/>
          <w:shd w:val="clear" w:color="auto" w:fill="FFFFFF"/>
        </w:rPr>
        <w:t xml:space="preserve">  par  méthode cinétique. </w:t>
      </w:r>
      <w:r w:rsidR="00DC664D" w:rsidRPr="00551628">
        <w:rPr>
          <w:rFonts w:asciiTheme="majorBidi" w:hAnsiTheme="majorBidi" w:cs="Times New Roman"/>
          <w:color w:val="000000" w:themeColor="text1"/>
          <w:sz w:val="24"/>
          <w:szCs w:val="24"/>
          <w:shd w:val="clear" w:color="auto" w:fill="FFFFFF"/>
        </w:rPr>
        <w:t xml:space="preserve">Le principe de dosage repose sur la réaction suivante: </w:t>
      </w:r>
    </w:p>
    <w:p w:rsidR="00DC664D" w:rsidRPr="00041C03" w:rsidRDefault="00DC664D" w:rsidP="00DC664D">
      <w:pPr>
        <w:spacing w:line="360" w:lineRule="auto"/>
        <w:ind w:firstLine="720"/>
        <w:contextualSpacing/>
        <w:jc w:val="both"/>
        <w:rPr>
          <w:rFonts w:asciiTheme="majorBidi" w:hAnsiTheme="majorBidi" w:cs="Times New Roman"/>
          <w:color w:val="000000" w:themeColor="text1"/>
          <w:sz w:val="24"/>
          <w:szCs w:val="24"/>
          <w:shd w:val="clear" w:color="auto" w:fill="FFFFFF"/>
        </w:rPr>
      </w:pPr>
      <w:r w:rsidRPr="00551628">
        <w:rPr>
          <w:rFonts w:asciiTheme="majorBidi" w:hAnsiTheme="majorBidi" w:cs="Times New Roman"/>
          <w:color w:val="000000" w:themeColor="text1"/>
          <w:sz w:val="24"/>
          <w:szCs w:val="24"/>
          <w:shd w:val="clear" w:color="auto" w:fill="FFFFFF"/>
        </w:rPr>
        <w:tab/>
      </w:r>
      <w:r w:rsidRPr="00551628">
        <w:rPr>
          <w:rFonts w:asciiTheme="majorBidi" w:hAnsiTheme="majorBidi" w:cs="Times New Roman"/>
          <w:color w:val="000000" w:themeColor="text1"/>
          <w:sz w:val="24"/>
          <w:szCs w:val="24"/>
          <w:shd w:val="clear" w:color="auto" w:fill="FFFFFF"/>
        </w:rPr>
        <w:tab/>
      </w:r>
      <w:r w:rsidRPr="00551628">
        <w:rPr>
          <w:rFonts w:asciiTheme="majorBidi" w:hAnsiTheme="majorBidi" w:cs="Times New Roman"/>
          <w:color w:val="000000" w:themeColor="text1"/>
          <w:sz w:val="24"/>
          <w:szCs w:val="24"/>
          <w:shd w:val="clear" w:color="auto" w:fill="FFFFFF"/>
        </w:rPr>
        <w:tab/>
      </w:r>
      <w:r w:rsidRPr="00551628">
        <w:rPr>
          <w:rFonts w:asciiTheme="majorBidi" w:hAnsiTheme="majorBidi" w:cs="Times New Roman"/>
          <w:color w:val="000000" w:themeColor="text1"/>
          <w:sz w:val="24"/>
          <w:szCs w:val="24"/>
          <w:shd w:val="clear" w:color="auto" w:fill="FFFFFF"/>
        </w:rPr>
        <w:tab/>
      </w:r>
      <w:r w:rsidR="00ED3E57">
        <w:rPr>
          <w:rFonts w:asciiTheme="majorBidi" w:hAnsiTheme="majorBidi" w:cs="Times New Roman"/>
          <w:color w:val="000000" w:themeColor="text1"/>
          <w:sz w:val="24"/>
          <w:szCs w:val="24"/>
          <w:shd w:val="clear" w:color="auto" w:fill="FFFFFF"/>
        </w:rPr>
        <w:t xml:space="preserve">   </w:t>
      </w:r>
      <w:r w:rsidRPr="00041C03">
        <w:rPr>
          <w:rFonts w:asciiTheme="majorBidi" w:hAnsiTheme="majorBidi" w:cs="Times New Roman"/>
          <w:color w:val="000000" w:themeColor="text1"/>
          <w:sz w:val="24"/>
          <w:szCs w:val="24"/>
          <w:shd w:val="clear" w:color="auto" w:fill="FFFFFF"/>
        </w:rPr>
        <w:t>ASAT (TGO)</w:t>
      </w:r>
    </w:p>
    <w:p w:rsidR="00DC664D" w:rsidRPr="00041C03" w:rsidRDefault="00824C86" w:rsidP="00DC664D">
      <w:pPr>
        <w:spacing w:line="360" w:lineRule="auto"/>
        <w:ind w:firstLine="720"/>
        <w:contextualSpacing/>
        <w:jc w:val="both"/>
        <w:rPr>
          <w:rFonts w:asciiTheme="majorBidi" w:hAnsiTheme="majorBidi" w:cs="Times New Roman"/>
          <w:color w:val="000000" w:themeColor="text1"/>
          <w:sz w:val="24"/>
          <w:szCs w:val="24"/>
          <w:shd w:val="clear" w:color="auto" w:fill="FFFFFF"/>
        </w:rPr>
      </w:pPr>
      <w:r w:rsidRPr="00824C86">
        <w:rPr>
          <w:noProof/>
          <w:lang w:eastAsia="fr-FR"/>
        </w:rPr>
        <w:pict>
          <v:shapetype id="_x0000_t32" coordsize="21600,21600" o:spt="32" o:oned="t" path="m,l21600,21600e" filled="f">
            <v:path arrowok="t" fillok="f" o:connecttype="none"/>
            <o:lock v:ext="edit" shapetype="t"/>
          </v:shapetype>
          <v:shape id="Connecteur droit avec flèche 44" o:spid="_x0000_s1047" type="#_x0000_t32" style="position:absolute;left:0;text-align:left;margin-left:187.05pt;margin-top:9.85pt;width:70.45pt;height:0;rotation:18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">
            <v:stroke endarrow="block"/>
          </v:shape>
        </w:pict>
      </w:r>
      <w:r w:rsidRPr="00824C86">
        <w:rPr>
          <w:noProof/>
          <w:lang w:eastAsia="fr-FR"/>
        </w:rPr>
        <w:pict>
          <v:shape id="Connecteur droit avec flèche 43" o:spid="_x0000_s1046" type="#_x0000_t32" style="position:absolute;left:0;text-align:left;margin-left:187.05pt;margin-top:2.5pt;width:70.5pt;height:0;z-index:2516776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">
            <v:stroke endarrow="block"/>
          </v:shape>
        </w:pict>
      </w:r>
      <w:r w:rsidR="00DC664D" w:rsidRPr="00041C03">
        <w:rPr>
          <w:rFonts w:asciiTheme="majorBidi" w:hAnsiTheme="majorBidi" w:cs="Times New Roman"/>
          <w:color w:val="000000" w:themeColor="text1"/>
          <w:sz w:val="24"/>
          <w:szCs w:val="24"/>
          <w:shd w:val="clear" w:color="auto" w:fill="FFFFFF"/>
        </w:rPr>
        <w:t xml:space="preserve">L-asparate + </w:t>
      </w:r>
      <w:r w:rsidR="00DC664D" w:rsidRPr="00551628">
        <w:rPr>
          <w:rFonts w:asciiTheme="majorBidi" w:hAnsiTheme="majorBidi" w:cs="Times New Roman"/>
          <w:color w:val="000000" w:themeColor="text1"/>
          <w:sz w:val="24"/>
          <w:szCs w:val="24"/>
          <w:shd w:val="clear" w:color="auto" w:fill="FFFFFF"/>
        </w:rPr>
        <w:t>α</w:t>
      </w:r>
      <w:r w:rsidR="00DC664D" w:rsidRPr="00041C03">
        <w:rPr>
          <w:rFonts w:asciiTheme="majorBidi" w:hAnsiTheme="majorBidi" w:cs="Times New Roman"/>
          <w:color w:val="000000" w:themeColor="text1"/>
          <w:sz w:val="24"/>
          <w:szCs w:val="24"/>
          <w:shd w:val="clear" w:color="auto" w:fill="FFFFFF"/>
        </w:rPr>
        <w:t>cétoglutarate</w:t>
      </w:r>
      <w:r w:rsidR="00ED3E57">
        <w:rPr>
          <w:rFonts w:asciiTheme="majorBidi" w:hAnsiTheme="majorBidi" w:cs="Times New Roman"/>
          <w:color w:val="000000" w:themeColor="text1"/>
          <w:sz w:val="24"/>
          <w:szCs w:val="24"/>
          <w:shd w:val="clear" w:color="auto" w:fill="FFFFFF"/>
        </w:rPr>
        <w:t xml:space="preserve">                                 </w:t>
      </w:r>
      <w:r w:rsidR="00DC664D" w:rsidRPr="00041C03">
        <w:rPr>
          <w:rFonts w:asciiTheme="majorBidi" w:hAnsiTheme="majorBidi" w:cs="Times New Roman"/>
          <w:color w:val="000000" w:themeColor="text1"/>
          <w:sz w:val="24"/>
          <w:szCs w:val="24"/>
          <w:shd w:val="clear" w:color="auto" w:fill="FFFFFF"/>
        </w:rPr>
        <w:t xml:space="preserve">Oxalo-acétate + L-glutamate. </w:t>
      </w:r>
    </w:p>
    <w:p w:rsidR="00DC664D" w:rsidRPr="00041C03" w:rsidRDefault="00DC664D" w:rsidP="00DC664D">
      <w:pPr>
        <w:spacing w:line="360" w:lineRule="auto"/>
        <w:ind w:left="2820" w:firstLine="720"/>
        <w:contextualSpacing/>
        <w:jc w:val="both"/>
        <w:rPr>
          <w:rFonts w:asciiTheme="majorBidi" w:hAnsiTheme="majorBidi" w:cs="Times New Roman"/>
          <w:color w:val="000000" w:themeColor="text1"/>
          <w:sz w:val="24"/>
          <w:szCs w:val="24"/>
          <w:shd w:val="clear" w:color="auto" w:fill="FFFFFF"/>
        </w:rPr>
      </w:pPr>
    </w:p>
    <w:p w:rsidR="00DC664D" w:rsidRPr="00551628" w:rsidRDefault="00ED3E57" w:rsidP="00DC664D">
      <w:pPr>
        <w:spacing w:line="360" w:lineRule="auto"/>
        <w:ind w:left="2820" w:firstLine="720"/>
        <w:contextualSpacing/>
        <w:jc w:val="both"/>
        <w:rPr>
          <w:rFonts w:asciiTheme="majorBidi" w:hAnsiTheme="majorBidi" w:cs="Times New Roman"/>
          <w:color w:val="000000" w:themeColor="text1"/>
          <w:sz w:val="24"/>
          <w:szCs w:val="24"/>
          <w:shd w:val="clear" w:color="auto" w:fill="FFFFFF"/>
        </w:rPr>
      </w:pPr>
      <w:r>
        <w:rPr>
          <w:rFonts w:asciiTheme="majorBidi" w:hAnsiTheme="majorBidi" w:cs="Times New Roman"/>
          <w:color w:val="000000" w:themeColor="text1"/>
          <w:sz w:val="24"/>
          <w:szCs w:val="24"/>
          <w:shd w:val="clear" w:color="auto" w:fill="FFFFFF"/>
        </w:rPr>
        <w:t xml:space="preserve">      </w:t>
      </w:r>
      <w:r w:rsidR="00DC664D" w:rsidRPr="00551628">
        <w:rPr>
          <w:rFonts w:asciiTheme="majorBidi" w:hAnsiTheme="majorBidi" w:cs="Times New Roman"/>
          <w:color w:val="000000" w:themeColor="text1"/>
          <w:sz w:val="24"/>
          <w:szCs w:val="24"/>
          <w:shd w:val="clear" w:color="auto" w:fill="FFFFFF"/>
        </w:rPr>
        <w:t>MDH</w:t>
      </w:r>
    </w:p>
    <w:p w:rsidR="00DC664D" w:rsidRPr="00551628" w:rsidRDefault="00824C86" w:rsidP="00DC664D">
      <w:pPr>
        <w:spacing w:line="360" w:lineRule="auto"/>
        <w:ind w:firstLine="720"/>
        <w:contextualSpacing/>
        <w:jc w:val="both"/>
        <w:rPr>
          <w:rFonts w:asciiTheme="majorBidi" w:hAnsiTheme="majorBidi" w:cs="Times New Roman"/>
          <w:color w:val="000000" w:themeColor="text1"/>
          <w:sz w:val="24"/>
          <w:szCs w:val="24"/>
          <w:shd w:val="clear" w:color="auto" w:fill="FFFFFF"/>
        </w:rPr>
      </w:pPr>
      <w:r w:rsidRPr="00824C86">
        <w:rPr>
          <w:noProof/>
          <w:lang w:eastAsia="fr-FR"/>
        </w:rPr>
        <w:pict>
          <v:shape id="Connecteur droit avec flèche 42" o:spid="_x0000_s1045" type="#_x0000_t32" style="position:absolute;left:0;text-align:left;margin-left:191.35pt;margin-top:10.15pt;width:40.55pt;height:0;rotation:180;z-index:2516807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">
            <v:stroke endarrow="block"/>
          </v:shape>
        </w:pict>
      </w:r>
      <w:r w:rsidRPr="00824C86">
        <w:rPr>
          <w:noProof/>
          <w:lang w:eastAsia="fr-FR"/>
        </w:rPr>
        <w:pict>
          <v:shape id="Connecteur droit avec flèche 41" o:spid="_x0000_s1044" type="#_x0000_t32" style="position:absolute;left:0;text-align:left;margin-left:191.35pt;margin-top:3.5pt;width:40.55pt;height:0;z-index:251679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">
            <v:stroke endarrow="block"/>
          </v:shape>
        </w:pict>
      </w:r>
      <w:r w:rsidR="00DC664D" w:rsidRPr="00551628">
        <w:rPr>
          <w:rFonts w:asciiTheme="majorBidi" w:hAnsiTheme="majorBidi" w:cs="Times New Roman"/>
          <w:color w:val="000000" w:themeColor="text1"/>
          <w:sz w:val="24"/>
          <w:szCs w:val="24"/>
          <w:shd w:val="clear" w:color="auto" w:fill="FFFFFF"/>
        </w:rPr>
        <w:t xml:space="preserve">Oxalo-acétate + NADH + H+                       Malate + NAD+. </w:t>
      </w:r>
    </w:p>
    <w:p w:rsidR="00DC664D" w:rsidRPr="00551628" w:rsidRDefault="00DC664D" w:rsidP="00DC664D">
      <w:pPr>
        <w:spacing w:line="360" w:lineRule="auto"/>
        <w:ind w:firstLine="720"/>
        <w:contextualSpacing/>
        <w:jc w:val="both"/>
        <w:rPr>
          <w:rFonts w:asciiTheme="majorBidi" w:hAnsiTheme="majorBidi" w:cs="Times New Roman"/>
          <w:color w:val="000000" w:themeColor="text1"/>
          <w:sz w:val="24"/>
          <w:szCs w:val="24"/>
          <w:shd w:val="clear" w:color="auto" w:fill="FFFFFF"/>
        </w:rPr>
      </w:pPr>
    </w:p>
    <w:p w:rsidR="00DC664D" w:rsidRDefault="00DC664D" w:rsidP="00DC664D">
      <w:pPr>
        <w:spacing w:line="360" w:lineRule="auto"/>
        <w:contextualSpacing/>
        <w:rPr>
          <w:rFonts w:asciiTheme="majorBidi" w:hAnsiTheme="majorBidi" w:cs="Times New Roman"/>
          <w:b/>
          <w:bCs/>
          <w:i/>
          <w:iCs/>
          <w:color w:val="000000" w:themeColor="text1"/>
          <w:sz w:val="24"/>
          <w:szCs w:val="24"/>
          <w:shd w:val="clear" w:color="auto" w:fill="FFFFFF"/>
        </w:rPr>
      </w:pPr>
      <w:r w:rsidRPr="00D52145">
        <w:rPr>
          <w:rFonts w:asciiTheme="majorBidi" w:hAnsiTheme="majorBidi" w:cs="Times New Roman"/>
          <w:b/>
          <w:bCs/>
          <w:i/>
          <w:iCs/>
          <w:color w:val="000000" w:themeColor="text1"/>
          <w:sz w:val="24"/>
          <w:szCs w:val="24"/>
          <w:shd w:val="clear" w:color="auto" w:fill="FFFFFF"/>
        </w:rPr>
        <w:t>MDH : Malate déshydrogénase</w:t>
      </w:r>
    </w:p>
    <w:p w:rsidR="00DC664D" w:rsidRPr="00D52145" w:rsidRDefault="00DC664D" w:rsidP="00DC664D">
      <w:pPr>
        <w:spacing w:line="360" w:lineRule="auto"/>
        <w:contextualSpacing/>
        <w:rPr>
          <w:rFonts w:asciiTheme="majorBidi" w:hAnsiTheme="majorBidi" w:cs="Times New Roman"/>
          <w:b/>
          <w:bCs/>
          <w:i/>
          <w:iCs/>
          <w:color w:val="000000" w:themeColor="text1"/>
          <w:sz w:val="24"/>
          <w:szCs w:val="24"/>
          <w:shd w:val="clear" w:color="auto" w:fill="FFFFFF"/>
        </w:rPr>
      </w:pPr>
    </w:p>
    <w:p w:rsidR="00DC664D" w:rsidRPr="00494A40" w:rsidRDefault="00DC664D" w:rsidP="00DC664D">
      <w:pPr>
        <w:spacing w:line="360" w:lineRule="auto"/>
        <w:ind w:firstLine="720"/>
        <w:jc w:val="both"/>
        <w:rPr>
          <w:rFonts w:asciiTheme="majorBidi" w:hAnsiTheme="majorBidi" w:cs="Times New Roman"/>
          <w:b/>
          <w:bCs/>
          <w:sz w:val="52"/>
          <w:szCs w:val="52"/>
        </w:rPr>
      </w:pPr>
      <w:r w:rsidRPr="00551628">
        <w:rPr>
          <w:rFonts w:asciiTheme="majorBidi" w:hAnsiTheme="majorBidi" w:cs="Times New Roman"/>
          <w:sz w:val="24"/>
          <w:szCs w:val="24"/>
        </w:rPr>
        <w:t>Le taux de diminution de la concentration en NADH est directement proportionnel à l’activité aspartateamino transférase dans l’échantillon</w:t>
      </w:r>
      <w:r w:rsidRPr="00494A40">
        <w:rPr>
          <w:rFonts w:asciiTheme="majorBidi" w:hAnsiTheme="majorBidi" w:cs="Times New Roman"/>
          <w:b/>
          <w:bCs/>
          <w:sz w:val="24"/>
          <w:szCs w:val="24"/>
        </w:rPr>
        <w:t>.</w:t>
      </w:r>
    </w:p>
    <w:p w:rsidR="00DC664D" w:rsidRPr="00F75E1F" w:rsidRDefault="00DC664D" w:rsidP="00A21FB0">
      <w:pPr>
        <w:pStyle w:val="Paragraphedeliste"/>
        <w:numPr>
          <w:ilvl w:val="0"/>
          <w:numId w:val="14"/>
        </w:numPr>
        <w:spacing w:after="160" w:line="360" w:lineRule="auto"/>
        <w:jc w:val="both"/>
        <w:rPr>
          <w:rFonts w:asciiTheme="majorBidi" w:hAnsiTheme="majorBidi" w:cs="Times New Roman"/>
          <w:b/>
          <w:bCs/>
          <w:i/>
          <w:iCs/>
          <w:color w:val="000000" w:themeColor="text1"/>
          <w:sz w:val="24"/>
          <w:szCs w:val="24"/>
          <w:shd w:val="clear" w:color="auto" w:fill="FFFFFF"/>
        </w:rPr>
      </w:pPr>
      <w:r w:rsidRPr="00D52145">
        <w:rPr>
          <w:rFonts w:asciiTheme="majorBidi" w:hAnsiTheme="majorBidi" w:cs="Times New Roman"/>
          <w:b/>
          <w:bCs/>
          <w:color w:val="000000" w:themeColor="text1"/>
          <w:sz w:val="24"/>
          <w:szCs w:val="24"/>
          <w:shd w:val="clear" w:color="auto" w:fill="FFFFFF"/>
        </w:rPr>
        <w:lastRenderedPageBreak/>
        <w:t>Réactif utilisés</w:t>
      </w:r>
      <w:r>
        <w:rPr>
          <w:rFonts w:asciiTheme="majorBidi" w:hAnsiTheme="majorBidi" w:cs="Times New Roman"/>
          <w:b/>
          <w:bCs/>
          <w:color w:val="000000" w:themeColor="text1"/>
          <w:sz w:val="24"/>
          <w:szCs w:val="24"/>
          <w:shd w:val="clear" w:color="auto" w:fill="FFFFFF"/>
        </w:rPr>
        <w:t xml:space="preserve"> : </w:t>
      </w:r>
      <w:r w:rsidRPr="00F75E1F">
        <w:rPr>
          <w:rFonts w:asciiTheme="majorBidi" w:hAnsiTheme="majorBidi" w:cs="Times New Roman"/>
          <w:b/>
          <w:bCs/>
          <w:i/>
          <w:iCs/>
          <w:sz w:val="24"/>
          <w:szCs w:val="24"/>
        </w:rPr>
        <w:t>Réf.20042, (60 Tests)</w:t>
      </w:r>
    </w:p>
    <w:p w:rsidR="00DC664D" w:rsidRPr="00F75E1F" w:rsidRDefault="00DC664D" w:rsidP="00DC664D">
      <w:pPr>
        <w:pStyle w:val="Paragraphedeliste"/>
        <w:spacing w:line="360" w:lineRule="auto"/>
        <w:jc w:val="both"/>
        <w:rPr>
          <w:rFonts w:asciiTheme="majorBidi" w:hAnsiTheme="majorBidi" w:cs="Times New Roman"/>
          <w:b/>
          <w:bCs/>
          <w:i/>
          <w:iCs/>
          <w:color w:val="000000" w:themeColor="text1"/>
          <w:sz w:val="24"/>
          <w:szCs w:val="24"/>
          <w:shd w:val="clear" w:color="auto" w:fill="FFFFFF"/>
        </w:rPr>
      </w:pPr>
    </w:p>
    <w:p w:rsidR="00DC664D" w:rsidRPr="00006EB7" w:rsidRDefault="00DC664D" w:rsidP="00A21FB0">
      <w:pPr>
        <w:pStyle w:val="Paragraphedeliste"/>
        <w:numPr>
          <w:ilvl w:val="0"/>
          <w:numId w:val="16"/>
        </w:numPr>
        <w:spacing w:line="360" w:lineRule="auto"/>
        <w:jc w:val="both"/>
        <w:rPr>
          <w:rFonts w:asciiTheme="majorBidi" w:hAnsiTheme="majorBidi" w:cs="Times New Roman"/>
          <w:sz w:val="24"/>
          <w:szCs w:val="24"/>
        </w:rPr>
      </w:pPr>
      <w:r w:rsidRPr="00F75E1F">
        <w:rPr>
          <w:rFonts w:asciiTheme="majorBidi" w:hAnsiTheme="majorBidi" w:cs="Times New Roman"/>
          <w:b/>
          <w:bCs/>
          <w:i/>
          <w:iCs/>
          <w:sz w:val="24"/>
          <w:szCs w:val="24"/>
        </w:rPr>
        <w:t>Réactif 1</w:t>
      </w:r>
      <w:r w:rsidRPr="00006EB7">
        <w:rPr>
          <w:rFonts w:asciiTheme="majorBidi" w:hAnsiTheme="majorBidi" w:cs="Times New Roman"/>
          <w:sz w:val="24"/>
          <w:szCs w:val="24"/>
        </w:rPr>
        <w:t xml:space="preserve"> : Solution Tampon Tris  L- aspartate = 200 mmol/lPH  7.8 à 30°C</w:t>
      </w:r>
    </w:p>
    <w:p w:rsidR="00DC664D" w:rsidRDefault="00DC664D" w:rsidP="00A21FB0">
      <w:pPr>
        <w:pStyle w:val="Paragraphedeliste"/>
        <w:numPr>
          <w:ilvl w:val="0"/>
          <w:numId w:val="16"/>
        </w:numPr>
        <w:spacing w:line="360" w:lineRule="auto"/>
        <w:jc w:val="both"/>
        <w:rPr>
          <w:rFonts w:asciiTheme="majorBidi" w:hAnsiTheme="majorBidi" w:cs="Times New Roman"/>
          <w:sz w:val="24"/>
          <w:szCs w:val="24"/>
        </w:rPr>
      </w:pPr>
      <w:r w:rsidRPr="00F75E1F">
        <w:rPr>
          <w:rFonts w:asciiTheme="majorBidi" w:hAnsiTheme="majorBidi" w:cs="Times New Roman"/>
          <w:b/>
          <w:bCs/>
          <w:i/>
          <w:iCs/>
          <w:sz w:val="24"/>
          <w:szCs w:val="24"/>
        </w:rPr>
        <w:t>Réactif2</w:t>
      </w:r>
      <w:r w:rsidRPr="00F75E1F">
        <w:rPr>
          <w:rFonts w:asciiTheme="majorBidi" w:hAnsiTheme="majorBidi" w:cs="Times New Roman"/>
          <w:i/>
          <w:iCs/>
          <w:sz w:val="24"/>
          <w:szCs w:val="24"/>
        </w:rPr>
        <w:t>:</w:t>
      </w:r>
      <w:r w:rsidRPr="00006EB7">
        <w:rPr>
          <w:rFonts w:asciiTheme="majorBidi" w:hAnsiTheme="majorBidi" w:cs="Times New Roman"/>
          <w:sz w:val="24"/>
          <w:szCs w:val="24"/>
        </w:rPr>
        <w:t xml:space="preserve"> NADH + lactate déshydrogénase-malate déshydrogénase cétoglutarate. </w:t>
      </w:r>
    </w:p>
    <w:p w:rsidR="00DC664D" w:rsidRPr="00262B78" w:rsidRDefault="00DC664D" w:rsidP="00DC664D">
      <w:pPr>
        <w:pStyle w:val="Paragraphedeliste"/>
        <w:spacing w:line="360" w:lineRule="auto"/>
        <w:ind w:left="786"/>
        <w:jc w:val="both"/>
        <w:rPr>
          <w:rFonts w:asciiTheme="majorBidi" w:hAnsiTheme="majorBidi" w:cs="Times New Roman"/>
          <w:sz w:val="24"/>
          <w:szCs w:val="24"/>
        </w:rPr>
      </w:pPr>
    </w:p>
    <w:p w:rsidR="00DC664D" w:rsidRPr="00D52145" w:rsidRDefault="00DC664D" w:rsidP="00A21FB0">
      <w:pPr>
        <w:pStyle w:val="Paragraphedeliste"/>
        <w:numPr>
          <w:ilvl w:val="0"/>
          <w:numId w:val="15"/>
        </w:numPr>
        <w:spacing w:after="160" w:line="360" w:lineRule="auto"/>
        <w:jc w:val="both"/>
        <w:rPr>
          <w:rFonts w:asciiTheme="majorBidi" w:hAnsiTheme="majorBidi" w:cs="Times New Roman"/>
          <w:sz w:val="24"/>
          <w:szCs w:val="24"/>
        </w:rPr>
      </w:pPr>
      <w:r w:rsidRPr="00D52145">
        <w:rPr>
          <w:rFonts w:asciiTheme="majorBidi" w:hAnsiTheme="majorBidi" w:cs="Times New Roman"/>
          <w:b/>
          <w:bCs/>
          <w:sz w:val="24"/>
          <w:szCs w:val="24"/>
        </w:rPr>
        <w:t>Valeurs usuelles : 0 - 40 U/L.</w:t>
      </w:r>
    </w:p>
    <w:p w:rsidR="00DC664D" w:rsidRPr="009E3355" w:rsidRDefault="00DC664D" w:rsidP="00DC664D">
      <w:pPr>
        <w:spacing w:line="360" w:lineRule="auto"/>
        <w:jc w:val="both"/>
        <w:rPr>
          <w:rFonts w:asciiTheme="majorBidi" w:hAnsiTheme="majorBidi" w:cs="Times New Roman"/>
          <w:b/>
          <w:bCs/>
          <w:sz w:val="24"/>
          <w:szCs w:val="24"/>
        </w:rPr>
      </w:pPr>
      <w:r w:rsidRPr="009E3355">
        <w:rPr>
          <w:rFonts w:asciiTheme="majorBidi" w:hAnsiTheme="majorBidi" w:cs="Times New Roman"/>
          <w:b/>
          <w:bCs/>
          <w:sz w:val="24"/>
          <w:szCs w:val="24"/>
        </w:rPr>
        <w:t>5.1.1.</w:t>
      </w:r>
      <w:r>
        <w:rPr>
          <w:rFonts w:asciiTheme="majorBidi" w:hAnsiTheme="majorBidi" w:cs="Times New Roman"/>
          <w:b/>
          <w:bCs/>
          <w:sz w:val="24"/>
          <w:szCs w:val="24"/>
        </w:rPr>
        <w:t>2.</w:t>
      </w:r>
      <w:r w:rsidRPr="009E3355">
        <w:rPr>
          <w:rFonts w:asciiTheme="majorBidi" w:hAnsiTheme="majorBidi" w:cs="Times New Roman"/>
          <w:b/>
          <w:bCs/>
          <w:sz w:val="24"/>
          <w:szCs w:val="24"/>
        </w:rPr>
        <w:t xml:space="preserve"> Dosage de </w:t>
      </w:r>
      <w:r w:rsidRPr="009E3355">
        <w:rPr>
          <w:rFonts w:asciiTheme="majorBidi" w:hAnsiTheme="majorBidi" w:cs="Times New Roman"/>
          <w:b/>
          <w:bCs/>
          <w:color w:val="000000" w:themeColor="text1"/>
          <w:sz w:val="24"/>
          <w:szCs w:val="24"/>
          <w:shd w:val="clear" w:color="auto" w:fill="FFFFFF"/>
        </w:rPr>
        <w:t>l’alanine</w:t>
      </w:r>
      <w:r>
        <w:rPr>
          <w:rFonts w:asciiTheme="majorBidi" w:hAnsiTheme="majorBidi" w:cs="Times New Roman"/>
          <w:b/>
          <w:bCs/>
          <w:color w:val="000000" w:themeColor="text1"/>
          <w:sz w:val="24"/>
          <w:szCs w:val="24"/>
          <w:shd w:val="clear" w:color="auto" w:fill="FFFFFF"/>
        </w:rPr>
        <w:t xml:space="preserve">- </w:t>
      </w:r>
      <w:r w:rsidRPr="009E3355">
        <w:rPr>
          <w:rFonts w:asciiTheme="majorBidi" w:hAnsiTheme="majorBidi" w:cs="Times New Roman"/>
          <w:b/>
          <w:bCs/>
          <w:sz w:val="24"/>
          <w:szCs w:val="24"/>
        </w:rPr>
        <w:t>amino</w:t>
      </w:r>
      <w:r>
        <w:rPr>
          <w:rFonts w:asciiTheme="majorBidi" w:hAnsiTheme="majorBidi" w:cs="Times New Roman"/>
          <w:b/>
          <w:bCs/>
          <w:sz w:val="24"/>
          <w:szCs w:val="24"/>
        </w:rPr>
        <w:t>-</w:t>
      </w:r>
      <w:r w:rsidRPr="009E3355">
        <w:rPr>
          <w:rFonts w:asciiTheme="majorBidi" w:hAnsiTheme="majorBidi" w:cs="Times New Roman"/>
          <w:b/>
          <w:bCs/>
          <w:sz w:val="24"/>
          <w:szCs w:val="24"/>
        </w:rPr>
        <w:t>tra</w:t>
      </w:r>
      <w:r>
        <w:rPr>
          <w:rFonts w:asciiTheme="majorBidi" w:hAnsiTheme="majorBidi" w:cs="Times New Roman"/>
          <w:b/>
          <w:bCs/>
          <w:sz w:val="24"/>
          <w:szCs w:val="24"/>
        </w:rPr>
        <w:t>n</w:t>
      </w:r>
      <w:r w:rsidRPr="009E3355">
        <w:rPr>
          <w:rFonts w:asciiTheme="majorBidi" w:hAnsiTheme="majorBidi" w:cs="Times New Roman"/>
          <w:b/>
          <w:bCs/>
          <w:sz w:val="24"/>
          <w:szCs w:val="24"/>
        </w:rPr>
        <w:t>sférase (ALAT ou TGP)</w:t>
      </w:r>
    </w:p>
    <w:p w:rsidR="00DC664D" w:rsidRPr="00F75E1F" w:rsidRDefault="00DC664D" w:rsidP="00A21FB0">
      <w:pPr>
        <w:pStyle w:val="Paragraphedeliste"/>
        <w:numPr>
          <w:ilvl w:val="0"/>
          <w:numId w:val="17"/>
        </w:numPr>
        <w:spacing w:after="160" w:line="360" w:lineRule="auto"/>
        <w:jc w:val="both"/>
        <w:rPr>
          <w:rFonts w:asciiTheme="majorBidi" w:hAnsiTheme="majorBidi" w:cs="Times New Roman"/>
          <w:bCs/>
          <w:color w:val="000000" w:themeColor="text1"/>
          <w:sz w:val="24"/>
          <w:szCs w:val="24"/>
          <w:shd w:val="clear" w:color="auto" w:fill="FFFFFF"/>
        </w:rPr>
      </w:pPr>
      <w:r w:rsidRPr="00F75E1F">
        <w:rPr>
          <w:rFonts w:asciiTheme="majorBidi" w:hAnsiTheme="majorBidi" w:cs="Times New Roman"/>
          <w:b/>
          <w:color w:val="000000" w:themeColor="text1"/>
          <w:sz w:val="24"/>
          <w:szCs w:val="24"/>
          <w:shd w:val="clear" w:color="auto" w:fill="FFFFFF"/>
        </w:rPr>
        <w:t>Principe</w:t>
      </w:r>
    </w:p>
    <w:p w:rsidR="00DC664D" w:rsidRPr="00551628" w:rsidRDefault="00824C86" w:rsidP="00DC664D">
      <w:pPr>
        <w:spacing w:line="360" w:lineRule="auto"/>
        <w:ind w:firstLine="851"/>
        <w:jc w:val="both"/>
        <w:rPr>
          <w:rFonts w:asciiTheme="majorBidi" w:hAnsiTheme="majorBidi" w:cs="Times New Roman"/>
          <w:b/>
          <w:bCs/>
          <w:color w:val="000000" w:themeColor="text1"/>
          <w:sz w:val="24"/>
          <w:szCs w:val="24"/>
          <w:shd w:val="clear" w:color="auto" w:fill="FFFFFF"/>
        </w:rPr>
      </w:pPr>
      <w:r w:rsidRPr="00824C86">
        <w:rPr>
          <w:noProof/>
          <w:lang w:eastAsia="fr-FR"/>
        </w:rPr>
        <w:pict>
          <v:rect id="Rectangle 40" o:spid="_x0000_s1043" style="position:absolute;left:0;text-align:left;margin-left:-7.6pt;margin-top:45.55pt;width:453.5pt;height:126.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" filled="f"/>
        </w:pict>
      </w:r>
      <w:r w:rsidR="00DC664D" w:rsidRPr="00551628">
        <w:rPr>
          <w:rFonts w:asciiTheme="majorBidi" w:hAnsiTheme="majorBidi" w:cs="Times New Roman"/>
          <w:bCs/>
          <w:color w:val="000000" w:themeColor="text1"/>
          <w:sz w:val="24"/>
          <w:szCs w:val="24"/>
          <w:shd w:val="clear" w:color="auto" w:fill="FFFFFF"/>
        </w:rPr>
        <w:t xml:space="preserve">L’alanine amino-transferase est  dosée  par  méthode cinétique. </w:t>
      </w:r>
      <w:r w:rsidR="00DC664D" w:rsidRPr="00551628">
        <w:rPr>
          <w:rFonts w:asciiTheme="majorBidi" w:hAnsiTheme="majorBidi" w:cs="Times New Roman"/>
          <w:color w:val="000000" w:themeColor="text1"/>
          <w:sz w:val="24"/>
          <w:szCs w:val="24"/>
          <w:shd w:val="clear" w:color="auto" w:fill="FFFFFF"/>
        </w:rPr>
        <w:t xml:space="preserve">Le principe de dosage repose sur la réaction  suivante: </w:t>
      </w:r>
    </w:p>
    <w:p w:rsidR="00DC664D" w:rsidRPr="00041C03" w:rsidRDefault="00DC664D" w:rsidP="00DC664D">
      <w:pPr>
        <w:spacing w:line="360" w:lineRule="auto"/>
        <w:ind w:left="2820" w:firstLine="720"/>
        <w:contextualSpacing/>
        <w:jc w:val="both"/>
        <w:rPr>
          <w:rFonts w:asciiTheme="majorBidi" w:hAnsiTheme="majorBidi" w:cs="Times New Roman"/>
          <w:color w:val="000000" w:themeColor="text1"/>
          <w:sz w:val="24"/>
          <w:szCs w:val="24"/>
          <w:shd w:val="clear" w:color="auto" w:fill="FFFFFF"/>
        </w:rPr>
      </w:pPr>
      <w:r w:rsidRPr="00041C03">
        <w:rPr>
          <w:rFonts w:asciiTheme="majorBidi" w:hAnsiTheme="majorBidi" w:cs="Times New Roman"/>
          <w:color w:val="000000" w:themeColor="text1"/>
          <w:sz w:val="24"/>
          <w:szCs w:val="24"/>
          <w:shd w:val="clear" w:color="auto" w:fill="FFFFFF"/>
        </w:rPr>
        <w:t xml:space="preserve">   ALAT (TGP)</w:t>
      </w:r>
    </w:p>
    <w:p w:rsidR="00DC664D" w:rsidRPr="00041C03" w:rsidRDefault="00824C86" w:rsidP="00DC664D">
      <w:pPr>
        <w:spacing w:line="360" w:lineRule="auto"/>
        <w:ind w:firstLine="720"/>
        <w:contextualSpacing/>
        <w:jc w:val="both"/>
        <w:rPr>
          <w:rFonts w:asciiTheme="majorBidi" w:hAnsiTheme="majorBidi" w:cs="Times New Roman"/>
          <w:color w:val="000000" w:themeColor="text1"/>
          <w:sz w:val="24"/>
          <w:szCs w:val="24"/>
          <w:shd w:val="clear" w:color="auto" w:fill="FFFFFF"/>
        </w:rPr>
      </w:pPr>
      <w:r w:rsidRPr="00824C86">
        <w:rPr>
          <w:noProof/>
          <w:lang w:eastAsia="fr-FR"/>
        </w:rPr>
        <w:pict>
          <v:shape id="Connecteur droit avec flèche 39" o:spid="_x0000_s1042" type="#_x0000_t32" style="position:absolute;left:0;text-align:left;margin-left:185.55pt;margin-top:10.05pt;width:59.95pt;height:0;flip:x;z-index:25168281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">
            <v:stroke endarrow="block"/>
          </v:shape>
        </w:pict>
      </w:r>
      <w:r w:rsidRPr="00824C86">
        <w:rPr>
          <w:noProof/>
          <w:lang w:eastAsia="fr-FR"/>
        </w:rPr>
        <w:pict>
          <v:shape id="Connecteur droit avec flèche 38" o:spid="_x0000_s1041" type="#_x0000_t32" style="position:absolute;left:0;text-align:left;margin-left:185.55pt;margin-top:3.3pt;width:60pt;height:0;z-index:25168179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">
            <v:stroke endarrow="block"/>
          </v:shape>
        </w:pict>
      </w:r>
      <w:r w:rsidR="00DC664D" w:rsidRPr="00041C03">
        <w:rPr>
          <w:rFonts w:asciiTheme="majorBidi" w:hAnsiTheme="majorBidi" w:cs="Times New Roman"/>
          <w:color w:val="000000" w:themeColor="text1"/>
          <w:sz w:val="24"/>
          <w:szCs w:val="24"/>
          <w:shd w:val="clear" w:color="auto" w:fill="FFFFFF"/>
        </w:rPr>
        <w:t xml:space="preserve">L- Alanine + </w:t>
      </w:r>
      <w:r w:rsidR="00DC664D" w:rsidRPr="00551628">
        <w:rPr>
          <w:rFonts w:asciiTheme="majorBidi" w:hAnsiTheme="majorBidi" w:cs="Times New Roman"/>
          <w:color w:val="000000" w:themeColor="text1"/>
          <w:sz w:val="24"/>
          <w:szCs w:val="24"/>
          <w:shd w:val="clear" w:color="auto" w:fill="FFFFFF"/>
        </w:rPr>
        <w:t>α</w:t>
      </w:r>
      <w:r w:rsidR="00DC664D" w:rsidRPr="00041C03">
        <w:rPr>
          <w:rFonts w:asciiTheme="majorBidi" w:hAnsiTheme="majorBidi" w:cs="Times New Roman"/>
          <w:color w:val="000000" w:themeColor="text1"/>
          <w:sz w:val="24"/>
          <w:szCs w:val="24"/>
          <w:shd w:val="clear" w:color="auto" w:fill="FFFFFF"/>
        </w:rPr>
        <w:t>cétoglutarate                            Pyruvate + L-glutamate.</w:t>
      </w:r>
    </w:p>
    <w:p w:rsidR="00DC664D" w:rsidRPr="00041C03" w:rsidRDefault="00DC664D" w:rsidP="00DC664D">
      <w:pPr>
        <w:spacing w:line="360" w:lineRule="auto"/>
        <w:jc w:val="both"/>
        <w:rPr>
          <w:rFonts w:asciiTheme="majorBidi" w:hAnsiTheme="majorBidi" w:cs="Times New Roman"/>
          <w:color w:val="000000" w:themeColor="text1"/>
          <w:sz w:val="24"/>
          <w:szCs w:val="24"/>
          <w:shd w:val="clear" w:color="auto" w:fill="FFFFFF"/>
        </w:rPr>
      </w:pPr>
      <w:r w:rsidRPr="00041C03">
        <w:rPr>
          <w:rFonts w:asciiTheme="majorBidi" w:hAnsiTheme="majorBidi" w:cs="Times New Roman"/>
          <w:color w:val="000000" w:themeColor="text1"/>
          <w:sz w:val="24"/>
          <w:szCs w:val="24"/>
          <w:shd w:val="clear" w:color="auto" w:fill="FFFFFF"/>
        </w:rPr>
        <w:t xml:space="preserve">                                                             LDH</w:t>
      </w:r>
    </w:p>
    <w:p w:rsidR="00DC664D" w:rsidRPr="00041C03" w:rsidRDefault="00824C86" w:rsidP="00DC664D">
      <w:pPr>
        <w:spacing w:line="360" w:lineRule="auto"/>
        <w:ind w:firstLine="720"/>
        <w:contextualSpacing/>
        <w:jc w:val="both"/>
        <w:rPr>
          <w:rFonts w:asciiTheme="majorBidi" w:hAnsiTheme="majorBidi" w:cs="Times New Roman"/>
          <w:color w:val="000000" w:themeColor="text1"/>
          <w:sz w:val="24"/>
          <w:szCs w:val="24"/>
          <w:shd w:val="clear" w:color="auto" w:fill="FFFFFF"/>
        </w:rPr>
      </w:pPr>
      <w:r w:rsidRPr="00824C86">
        <w:rPr>
          <w:noProof/>
          <w:lang w:eastAsia="fr-FR"/>
        </w:rPr>
        <w:pict>
          <v:shape id="Connecteur droit avec flèche 37" o:spid="_x0000_s1040" type="#_x0000_t32" style="position:absolute;left:0;text-align:left;margin-left:175.6pt;margin-top:9.35pt;width:41.75pt;height:0;flip:x;z-index:2516848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">
            <v:stroke endarrow="block"/>
          </v:shape>
        </w:pict>
      </w:r>
      <w:r w:rsidRPr="00824C86">
        <w:rPr>
          <w:noProof/>
          <w:lang w:eastAsia="fr-FR"/>
        </w:rPr>
        <w:pict>
          <v:shape id="Connecteur droit avec flèche 36" o:spid="_x0000_s1039" type="#_x0000_t32" style="position:absolute;left:0;text-align:left;margin-left:175.6pt;margin-top:.9pt;width:41.75pt;height:0;z-index:25168384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">
            <v:stroke endarrow="block"/>
          </v:shape>
        </w:pict>
      </w:r>
      <w:r w:rsidR="00DC664D" w:rsidRPr="00041C03">
        <w:rPr>
          <w:rFonts w:asciiTheme="majorBidi" w:hAnsiTheme="majorBidi" w:cs="Times New Roman"/>
          <w:color w:val="000000" w:themeColor="text1"/>
          <w:sz w:val="24"/>
          <w:szCs w:val="24"/>
          <w:shd w:val="clear" w:color="auto" w:fill="FFFFFF"/>
        </w:rPr>
        <w:t>Pyruvate + NDH + H+                             L-Lactate + NAD+.</w:t>
      </w:r>
    </w:p>
    <w:p w:rsidR="00DC664D" w:rsidRPr="00F75E1F" w:rsidRDefault="00DC664D" w:rsidP="00DC664D">
      <w:pPr>
        <w:spacing w:line="360" w:lineRule="auto"/>
        <w:contextualSpacing/>
        <w:jc w:val="both"/>
        <w:rPr>
          <w:rFonts w:asciiTheme="majorBidi" w:hAnsiTheme="majorBidi" w:cs="Times New Roman"/>
          <w:b/>
          <w:bCs/>
          <w:color w:val="000000" w:themeColor="text1"/>
          <w:sz w:val="24"/>
          <w:szCs w:val="24"/>
          <w:shd w:val="clear" w:color="auto" w:fill="FFFFFF"/>
        </w:rPr>
      </w:pPr>
      <w:r w:rsidRPr="00F75E1F">
        <w:rPr>
          <w:rFonts w:asciiTheme="majorBidi" w:hAnsiTheme="majorBidi" w:cs="Times New Roman"/>
          <w:b/>
          <w:bCs/>
          <w:color w:val="000000" w:themeColor="text1"/>
          <w:sz w:val="24"/>
          <w:szCs w:val="24"/>
          <w:shd w:val="clear" w:color="auto" w:fill="FFFFFF"/>
        </w:rPr>
        <w:t xml:space="preserve">LDH : Lactate déshydrogénase </w:t>
      </w:r>
    </w:p>
    <w:p w:rsidR="00DC664D" w:rsidRDefault="00DC664D" w:rsidP="00DC664D">
      <w:pPr>
        <w:spacing w:line="360" w:lineRule="auto"/>
        <w:ind w:firstLine="720"/>
        <w:jc w:val="both"/>
        <w:rPr>
          <w:rFonts w:asciiTheme="majorBidi" w:hAnsiTheme="majorBidi" w:cs="Times New Roman"/>
          <w:sz w:val="24"/>
          <w:szCs w:val="24"/>
        </w:rPr>
      </w:pPr>
    </w:p>
    <w:p w:rsidR="00DC664D" w:rsidRPr="00494A40" w:rsidRDefault="00DC664D" w:rsidP="00DC664D">
      <w:pPr>
        <w:spacing w:line="360" w:lineRule="auto"/>
        <w:ind w:firstLine="720"/>
        <w:jc w:val="both"/>
        <w:rPr>
          <w:rFonts w:asciiTheme="majorBidi" w:hAnsiTheme="majorBidi" w:cs="Times New Roman"/>
          <w:b/>
          <w:bCs/>
          <w:sz w:val="24"/>
          <w:szCs w:val="24"/>
        </w:rPr>
      </w:pPr>
      <w:r w:rsidRPr="00551628">
        <w:rPr>
          <w:rFonts w:asciiTheme="majorBidi" w:hAnsiTheme="majorBidi" w:cs="Times New Roman"/>
          <w:sz w:val="24"/>
          <w:szCs w:val="24"/>
        </w:rPr>
        <w:t xml:space="preserve">Le taux de diminution de la concentration en NADH est directement proportionnel à l’activité alanine transférase dans l’échantillon. </w:t>
      </w:r>
    </w:p>
    <w:p w:rsidR="00DC664D" w:rsidRPr="00F75E1F" w:rsidRDefault="00DC664D" w:rsidP="00A21FB0">
      <w:pPr>
        <w:pStyle w:val="Paragraphedeliste"/>
        <w:numPr>
          <w:ilvl w:val="0"/>
          <w:numId w:val="18"/>
        </w:numPr>
        <w:spacing w:after="160" w:line="360" w:lineRule="auto"/>
        <w:ind w:left="851"/>
        <w:jc w:val="both"/>
        <w:rPr>
          <w:rFonts w:asciiTheme="majorBidi" w:hAnsiTheme="majorBidi" w:cs="Times New Roman"/>
          <w:b/>
          <w:bCs/>
          <w:sz w:val="24"/>
          <w:szCs w:val="24"/>
        </w:rPr>
      </w:pPr>
      <w:r w:rsidRPr="00F75E1F">
        <w:rPr>
          <w:rFonts w:asciiTheme="majorBidi" w:hAnsiTheme="majorBidi" w:cs="Times New Roman"/>
          <w:b/>
          <w:bCs/>
          <w:color w:val="000000" w:themeColor="text1"/>
          <w:sz w:val="24"/>
          <w:szCs w:val="24"/>
          <w:shd w:val="clear" w:color="auto" w:fill="FFFFFF"/>
        </w:rPr>
        <w:t>Réactifs utilisés :</w:t>
      </w:r>
      <w:r w:rsidRPr="00F75E1F">
        <w:rPr>
          <w:rFonts w:asciiTheme="majorBidi" w:hAnsiTheme="majorBidi" w:cs="Times New Roman"/>
          <w:b/>
          <w:bCs/>
          <w:sz w:val="24"/>
          <w:szCs w:val="24"/>
        </w:rPr>
        <w:t>Réf. 20046, (60 Tests)</w:t>
      </w:r>
    </w:p>
    <w:p w:rsidR="00DC664D" w:rsidRPr="00006EB7" w:rsidRDefault="00DC664D" w:rsidP="00A21FB0">
      <w:pPr>
        <w:pStyle w:val="Paragraphedeliste"/>
        <w:numPr>
          <w:ilvl w:val="0"/>
          <w:numId w:val="19"/>
        </w:numPr>
        <w:spacing w:line="360" w:lineRule="auto"/>
        <w:jc w:val="both"/>
        <w:rPr>
          <w:rFonts w:asciiTheme="majorBidi" w:hAnsiTheme="majorBidi" w:cs="Times New Roman"/>
          <w:sz w:val="24"/>
          <w:szCs w:val="24"/>
        </w:rPr>
      </w:pPr>
      <w:r w:rsidRPr="00006EB7">
        <w:rPr>
          <w:rFonts w:asciiTheme="majorBidi" w:hAnsiTheme="majorBidi" w:cs="Times New Roman"/>
          <w:b/>
          <w:bCs/>
          <w:sz w:val="24"/>
          <w:szCs w:val="24"/>
        </w:rPr>
        <w:t>Réactif 1</w:t>
      </w:r>
      <w:r w:rsidRPr="00006EB7">
        <w:rPr>
          <w:rFonts w:asciiTheme="majorBidi" w:hAnsiTheme="majorBidi" w:cs="Times New Roman"/>
          <w:sz w:val="24"/>
          <w:szCs w:val="24"/>
        </w:rPr>
        <w:t xml:space="preserve"> : Solution Tampon Tris L-Alanine (PH  7.8 à 30°C 500 mmol/l)</w:t>
      </w:r>
    </w:p>
    <w:p w:rsidR="00DC664D" w:rsidRDefault="00DC664D" w:rsidP="00A21FB0">
      <w:pPr>
        <w:pStyle w:val="Paragraphedeliste"/>
        <w:numPr>
          <w:ilvl w:val="0"/>
          <w:numId w:val="19"/>
        </w:numPr>
        <w:spacing w:line="360" w:lineRule="auto"/>
        <w:jc w:val="both"/>
        <w:rPr>
          <w:rFonts w:asciiTheme="majorBidi" w:hAnsiTheme="majorBidi" w:cs="Times New Roman"/>
          <w:sz w:val="24"/>
          <w:szCs w:val="24"/>
        </w:rPr>
      </w:pPr>
      <w:r w:rsidRPr="00006EB7">
        <w:rPr>
          <w:rFonts w:asciiTheme="majorBidi" w:hAnsiTheme="majorBidi" w:cs="Times New Roman"/>
          <w:b/>
          <w:bCs/>
          <w:sz w:val="24"/>
          <w:szCs w:val="24"/>
        </w:rPr>
        <w:t xml:space="preserve">Réactif 2 </w:t>
      </w:r>
      <w:r w:rsidRPr="00006EB7">
        <w:rPr>
          <w:rFonts w:asciiTheme="majorBidi" w:hAnsiTheme="majorBidi" w:cs="Times New Roman"/>
          <w:sz w:val="24"/>
          <w:szCs w:val="24"/>
        </w:rPr>
        <w:t>: LDH (substrat) +NADH+ lactate deshydrogenase+2oxoglutarate</w:t>
      </w:r>
    </w:p>
    <w:p w:rsidR="00DC664D" w:rsidRPr="00006EB7" w:rsidRDefault="00DC664D" w:rsidP="00DC664D">
      <w:pPr>
        <w:pStyle w:val="Paragraphedeliste"/>
        <w:spacing w:line="360" w:lineRule="auto"/>
        <w:jc w:val="both"/>
        <w:rPr>
          <w:rFonts w:asciiTheme="majorBidi" w:hAnsiTheme="majorBidi" w:cs="Times New Roman"/>
          <w:sz w:val="24"/>
          <w:szCs w:val="24"/>
        </w:rPr>
      </w:pPr>
    </w:p>
    <w:p w:rsidR="00DC664D" w:rsidRPr="00F75E1F" w:rsidRDefault="00DC664D" w:rsidP="00A21FB0">
      <w:pPr>
        <w:pStyle w:val="Paragraphedeliste"/>
        <w:numPr>
          <w:ilvl w:val="0"/>
          <w:numId w:val="20"/>
        </w:numPr>
        <w:autoSpaceDE w:val="0"/>
        <w:autoSpaceDN w:val="0"/>
        <w:adjustRightInd w:val="0"/>
        <w:spacing w:after="0" w:line="240" w:lineRule="auto"/>
        <w:rPr>
          <w:rFonts w:asciiTheme="majorBidi" w:hAnsiTheme="majorBidi" w:cs="Times New Roman"/>
          <w:b/>
          <w:bCs/>
          <w:sz w:val="24"/>
          <w:szCs w:val="24"/>
        </w:rPr>
      </w:pPr>
      <w:r w:rsidRPr="00F75E1F">
        <w:rPr>
          <w:rFonts w:asciiTheme="majorBidi" w:hAnsiTheme="majorBidi" w:cs="Times New Roman"/>
          <w:b/>
          <w:bCs/>
          <w:sz w:val="24"/>
          <w:szCs w:val="24"/>
        </w:rPr>
        <w:t>Valeurs usuelles : 0 - 40 U/L.</w:t>
      </w:r>
    </w:p>
    <w:p w:rsidR="00DC664D" w:rsidRDefault="00DC664D" w:rsidP="00DC664D">
      <w:pPr>
        <w:autoSpaceDE w:val="0"/>
        <w:autoSpaceDN w:val="0"/>
        <w:adjustRightInd w:val="0"/>
        <w:spacing w:after="0" w:line="360" w:lineRule="auto"/>
        <w:jc w:val="both"/>
        <w:rPr>
          <w:rFonts w:ascii="Times New Roman" w:hAnsi="Times New Roman" w:cs="Times New Roman"/>
          <w:b/>
          <w:bCs/>
          <w:color w:val="7030A0"/>
          <w:sz w:val="24"/>
          <w:szCs w:val="24"/>
        </w:rPr>
      </w:pPr>
    </w:p>
    <w:p w:rsidR="00DC664D" w:rsidRPr="00E34F55" w:rsidRDefault="00DC664D" w:rsidP="00DC664D">
      <w:pPr>
        <w:autoSpaceDE w:val="0"/>
        <w:autoSpaceDN w:val="0"/>
        <w:adjustRightInd w:val="0"/>
        <w:spacing w:after="0" w:line="360" w:lineRule="auto"/>
        <w:jc w:val="both"/>
        <w:rPr>
          <w:rFonts w:ascii="Times New Roman" w:hAnsi="Times New Roman" w:cs="Times New Roman"/>
          <w:b/>
          <w:bCs/>
          <w:color w:val="7030A0"/>
          <w:sz w:val="24"/>
          <w:szCs w:val="24"/>
        </w:rPr>
      </w:pPr>
      <w:r w:rsidRPr="00E34F55">
        <w:rPr>
          <w:rFonts w:ascii="Times New Roman" w:hAnsi="Times New Roman" w:cs="Times New Roman"/>
          <w:b/>
          <w:bCs/>
          <w:color w:val="7030A0"/>
          <w:sz w:val="24"/>
          <w:szCs w:val="24"/>
        </w:rPr>
        <w:t>5.</w:t>
      </w:r>
      <w:r>
        <w:rPr>
          <w:rFonts w:ascii="Times New Roman" w:hAnsi="Times New Roman" w:cs="Times New Roman"/>
          <w:b/>
          <w:bCs/>
          <w:color w:val="7030A0"/>
          <w:sz w:val="24"/>
          <w:szCs w:val="24"/>
        </w:rPr>
        <w:t>1.</w:t>
      </w:r>
      <w:r w:rsidRPr="00E34F55">
        <w:rPr>
          <w:rFonts w:ascii="Times New Roman" w:hAnsi="Times New Roman" w:cs="Times New Roman"/>
          <w:b/>
          <w:bCs/>
          <w:color w:val="7030A0"/>
          <w:sz w:val="24"/>
          <w:szCs w:val="24"/>
        </w:rPr>
        <w:t>2. Dosage de la bilirubine</w:t>
      </w:r>
      <w:r>
        <w:rPr>
          <w:rFonts w:ascii="Times New Roman" w:hAnsi="Times New Roman" w:cs="Times New Roman"/>
          <w:b/>
          <w:bCs/>
          <w:color w:val="7030A0"/>
          <w:sz w:val="24"/>
          <w:szCs w:val="24"/>
        </w:rPr>
        <w:t xml:space="preserve"> (totale et directe)</w:t>
      </w:r>
    </w:p>
    <w:p w:rsidR="00DC664D" w:rsidRPr="000C1556" w:rsidRDefault="00DC664D" w:rsidP="00A21FB0">
      <w:pPr>
        <w:pStyle w:val="Paragraphedeliste"/>
        <w:numPr>
          <w:ilvl w:val="0"/>
          <w:numId w:val="21"/>
        </w:numPr>
        <w:autoSpaceDE w:val="0"/>
        <w:autoSpaceDN w:val="0"/>
        <w:adjustRightInd w:val="0"/>
        <w:spacing w:after="0" w:line="360" w:lineRule="auto"/>
        <w:jc w:val="both"/>
        <w:rPr>
          <w:rFonts w:ascii="Times New Roman" w:hAnsi="Times New Roman" w:cs="Times New Roman"/>
          <w:b/>
          <w:bCs/>
          <w:color w:val="000000"/>
          <w:sz w:val="24"/>
          <w:szCs w:val="24"/>
        </w:rPr>
      </w:pPr>
      <w:r w:rsidRPr="000C1556">
        <w:rPr>
          <w:rFonts w:ascii="Times New Roman" w:hAnsi="Times New Roman" w:cs="Times New Roman"/>
          <w:b/>
          <w:bCs/>
          <w:color w:val="000000"/>
          <w:sz w:val="24"/>
          <w:szCs w:val="24"/>
        </w:rPr>
        <w:t xml:space="preserve">Principe </w:t>
      </w:r>
    </w:p>
    <w:p w:rsidR="00DC664D" w:rsidRPr="00551628" w:rsidRDefault="00DC664D" w:rsidP="004E2073">
      <w:pPr>
        <w:autoSpaceDE w:val="0"/>
        <w:autoSpaceDN w:val="0"/>
        <w:adjustRightInd w:val="0"/>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Pr="00551628">
        <w:rPr>
          <w:rFonts w:ascii="Times New Roman" w:hAnsi="Times New Roman" w:cs="Times New Roman"/>
          <w:color w:val="000000"/>
          <w:sz w:val="24"/>
          <w:szCs w:val="24"/>
        </w:rPr>
        <w:t xml:space="preserve">’acide sulfanilique réagit avec le nitrite de sodium pour donner de l’acide sulfaniliquediazoté. En présence de diméthylsulfoxyde (DMSO), la bilirubine totale se couple avec l’acide sulfaniquediazoté pour donner l’azobilirubine. Le dosage de la bilirubine directe se fait en l’absence de DMSO. </w:t>
      </w:r>
    </w:p>
    <w:p w:rsidR="00DC664D" w:rsidRPr="000C1556" w:rsidRDefault="00DC664D" w:rsidP="00A21FB0">
      <w:pPr>
        <w:pStyle w:val="Paragraphedeliste"/>
        <w:numPr>
          <w:ilvl w:val="0"/>
          <w:numId w:val="23"/>
        </w:numPr>
        <w:spacing w:after="160" w:line="360" w:lineRule="auto"/>
        <w:jc w:val="both"/>
        <w:rPr>
          <w:rFonts w:ascii="Helvetica" w:hAnsi="Helvetica" w:cs="Helvetica"/>
          <w:sz w:val="20"/>
          <w:szCs w:val="20"/>
        </w:rPr>
      </w:pPr>
      <w:r w:rsidRPr="000C1556">
        <w:rPr>
          <w:rFonts w:ascii="Times New Roman" w:hAnsi="Times New Roman" w:cs="Times New Roman"/>
          <w:b/>
          <w:bCs/>
          <w:color w:val="000000"/>
          <w:sz w:val="24"/>
          <w:szCs w:val="24"/>
        </w:rPr>
        <w:t xml:space="preserve">Réactifs utilisés : </w:t>
      </w:r>
      <w:r w:rsidRPr="000C1556">
        <w:rPr>
          <w:rFonts w:asciiTheme="majorBidi" w:hAnsiTheme="majorBidi" w:cs="Times New Roman"/>
          <w:b/>
          <w:bCs/>
          <w:sz w:val="24"/>
          <w:szCs w:val="24"/>
        </w:rPr>
        <w:t>Réf. 20102, (160 Tests)</w:t>
      </w:r>
    </w:p>
    <w:p w:rsidR="00DC664D" w:rsidRDefault="00DC664D" w:rsidP="00A21FB0">
      <w:pPr>
        <w:pStyle w:val="Paragraphedeliste"/>
        <w:numPr>
          <w:ilvl w:val="0"/>
          <w:numId w:val="22"/>
        </w:numPr>
        <w:spacing w:after="160" w:line="360" w:lineRule="auto"/>
        <w:jc w:val="both"/>
        <w:rPr>
          <w:rFonts w:ascii="Times New Roman" w:hAnsi="Times New Roman" w:cs="Times New Roman"/>
          <w:color w:val="000000"/>
          <w:sz w:val="24"/>
          <w:szCs w:val="24"/>
        </w:rPr>
      </w:pPr>
      <w:r w:rsidRPr="00917049">
        <w:rPr>
          <w:rFonts w:ascii="Times New Roman" w:hAnsi="Times New Roman" w:cs="Times New Roman"/>
          <w:b/>
          <w:bCs/>
          <w:color w:val="000000"/>
          <w:sz w:val="24"/>
          <w:szCs w:val="24"/>
        </w:rPr>
        <w:t>Réactif D</w:t>
      </w:r>
      <w:r>
        <w:rPr>
          <w:rFonts w:ascii="Times New Roman" w:hAnsi="Times New Roman" w:cs="Times New Roman"/>
          <w:color w:val="000000"/>
          <w:sz w:val="24"/>
          <w:szCs w:val="24"/>
        </w:rPr>
        <w:t> : acide sulfanilique (30mmol/l)  et l’acide hydrochlorique (150 mmol/l).</w:t>
      </w:r>
    </w:p>
    <w:p w:rsidR="00DC664D" w:rsidRDefault="00DC664D" w:rsidP="00A21FB0">
      <w:pPr>
        <w:pStyle w:val="Paragraphedeliste"/>
        <w:numPr>
          <w:ilvl w:val="0"/>
          <w:numId w:val="22"/>
        </w:numPr>
        <w:spacing w:after="160" w:line="360" w:lineRule="auto"/>
        <w:jc w:val="both"/>
        <w:rPr>
          <w:rFonts w:ascii="Times New Roman" w:hAnsi="Times New Roman" w:cs="Times New Roman"/>
          <w:color w:val="000000"/>
          <w:sz w:val="24"/>
          <w:szCs w:val="24"/>
        </w:rPr>
      </w:pPr>
      <w:r w:rsidRPr="00917049">
        <w:rPr>
          <w:rFonts w:ascii="Times New Roman" w:hAnsi="Times New Roman" w:cs="Times New Roman"/>
          <w:b/>
          <w:bCs/>
          <w:color w:val="000000"/>
          <w:sz w:val="24"/>
          <w:szCs w:val="24"/>
        </w:rPr>
        <w:lastRenderedPageBreak/>
        <w:t>Réactif T</w:t>
      </w:r>
      <w:r>
        <w:rPr>
          <w:rFonts w:ascii="Times New Roman" w:hAnsi="Times New Roman" w:cs="Times New Roman"/>
          <w:color w:val="000000"/>
          <w:sz w:val="24"/>
          <w:szCs w:val="24"/>
        </w:rPr>
        <w:t> : acide sulfanilique (30mmol/l), l’acide hydrochlorique (50 mmol/l) et le diméthylsulfoxyde (7mmol/l).</w:t>
      </w:r>
    </w:p>
    <w:p w:rsidR="00DC664D" w:rsidRPr="00E34F55" w:rsidRDefault="00DC664D" w:rsidP="00A21FB0">
      <w:pPr>
        <w:pStyle w:val="Paragraphedeliste"/>
        <w:numPr>
          <w:ilvl w:val="0"/>
          <w:numId w:val="22"/>
        </w:numPr>
        <w:spacing w:after="160" w:line="360" w:lineRule="auto"/>
        <w:jc w:val="both"/>
        <w:rPr>
          <w:rFonts w:ascii="Times New Roman" w:hAnsi="Times New Roman" w:cs="Times New Roman"/>
          <w:color w:val="000000"/>
          <w:sz w:val="24"/>
          <w:szCs w:val="24"/>
        </w:rPr>
      </w:pPr>
      <w:r w:rsidRPr="00917049">
        <w:rPr>
          <w:rFonts w:ascii="Times New Roman" w:hAnsi="Times New Roman" w:cs="Times New Roman"/>
          <w:b/>
          <w:bCs/>
          <w:color w:val="000000"/>
          <w:sz w:val="24"/>
          <w:szCs w:val="24"/>
        </w:rPr>
        <w:t>Réactif N</w:t>
      </w:r>
      <w:r>
        <w:rPr>
          <w:rFonts w:ascii="Times New Roman" w:hAnsi="Times New Roman" w:cs="Times New Roman"/>
          <w:color w:val="000000"/>
          <w:sz w:val="24"/>
          <w:szCs w:val="24"/>
        </w:rPr>
        <w:t> : nitrite de sodium (29 mmol/l)</w:t>
      </w:r>
    </w:p>
    <w:p w:rsidR="00DC664D" w:rsidRPr="00BC6D11" w:rsidRDefault="00DC664D" w:rsidP="00A21FB0">
      <w:pPr>
        <w:pStyle w:val="Paragraphedeliste"/>
        <w:numPr>
          <w:ilvl w:val="0"/>
          <w:numId w:val="24"/>
        </w:numPr>
        <w:spacing w:after="160" w:line="259" w:lineRule="auto"/>
        <w:rPr>
          <w:rFonts w:asciiTheme="majorBidi" w:hAnsiTheme="majorBidi" w:cs="Times New Roman"/>
          <w:sz w:val="24"/>
          <w:szCs w:val="24"/>
        </w:rPr>
      </w:pPr>
      <w:r w:rsidRPr="00BC6D11">
        <w:rPr>
          <w:rFonts w:asciiTheme="majorBidi" w:hAnsiTheme="majorBidi" w:cs="Times New Roman"/>
          <w:b/>
          <w:bCs/>
          <w:sz w:val="24"/>
          <w:szCs w:val="24"/>
          <w:shd w:val="clear" w:color="auto" w:fill="FFFFFF"/>
        </w:rPr>
        <w:t>Mode opératoire</w:t>
      </w:r>
    </w:p>
    <w:p w:rsidR="00DC664D" w:rsidRPr="00551628" w:rsidRDefault="00DC664D" w:rsidP="00DC664D">
      <w:pPr>
        <w:autoSpaceDE w:val="0"/>
        <w:autoSpaceDN w:val="0"/>
        <w:adjustRightInd w:val="0"/>
        <w:spacing w:after="0" w:line="360" w:lineRule="auto"/>
        <w:ind w:firstLine="708"/>
        <w:jc w:val="both"/>
        <w:rPr>
          <w:rFonts w:ascii="Times New Roman" w:hAnsi="Times New Roman" w:cs="Times New Roman"/>
          <w:color w:val="000000"/>
          <w:sz w:val="24"/>
          <w:szCs w:val="24"/>
        </w:rPr>
      </w:pPr>
      <w:r w:rsidRPr="00551628">
        <w:rPr>
          <w:rFonts w:ascii="Times New Roman" w:hAnsi="Times New Roman" w:cs="Times New Roman"/>
          <w:color w:val="000000"/>
          <w:sz w:val="24"/>
          <w:szCs w:val="24"/>
        </w:rPr>
        <w:t xml:space="preserve">Pour la </w:t>
      </w:r>
      <w:r w:rsidRPr="000C1556">
        <w:rPr>
          <w:rFonts w:ascii="Times New Roman" w:hAnsi="Times New Roman" w:cs="Times New Roman"/>
          <w:b/>
          <w:bCs/>
          <w:i/>
          <w:iCs/>
          <w:color w:val="000000"/>
          <w:sz w:val="24"/>
          <w:szCs w:val="24"/>
        </w:rPr>
        <w:t>bilirubine totale</w:t>
      </w:r>
      <w:r w:rsidRPr="00551628">
        <w:rPr>
          <w:rFonts w:ascii="Times New Roman" w:hAnsi="Times New Roman" w:cs="Times New Roman"/>
          <w:color w:val="000000"/>
          <w:sz w:val="24"/>
          <w:szCs w:val="24"/>
        </w:rPr>
        <w:t>, 1</w:t>
      </w:r>
      <w:r>
        <w:rPr>
          <w:rFonts w:ascii="Times New Roman" w:hAnsi="Times New Roman" w:cs="Times New Roman"/>
          <w:color w:val="000000"/>
          <w:sz w:val="24"/>
          <w:szCs w:val="24"/>
        </w:rPr>
        <w:t>500</w:t>
      </w:r>
      <w:r w:rsidRPr="00551628">
        <w:rPr>
          <w:rFonts w:ascii="Times New Roman" w:hAnsi="Times New Roman" w:cs="Times New Roman"/>
          <w:color w:val="000000"/>
          <w:sz w:val="24"/>
          <w:szCs w:val="24"/>
        </w:rPr>
        <w:t xml:space="preserve">μldu réactif T et </w:t>
      </w:r>
      <w:r>
        <w:rPr>
          <w:rFonts w:ascii="Times New Roman" w:hAnsi="Times New Roman" w:cs="Times New Roman"/>
          <w:color w:val="000000"/>
          <w:sz w:val="24"/>
          <w:szCs w:val="24"/>
        </w:rPr>
        <w:t>50</w:t>
      </w:r>
      <w:r w:rsidRPr="00551628">
        <w:rPr>
          <w:rFonts w:ascii="Times New Roman" w:hAnsi="Times New Roman" w:cs="Times New Roman"/>
          <w:color w:val="000000"/>
          <w:sz w:val="24"/>
          <w:szCs w:val="24"/>
        </w:rPr>
        <w:t xml:space="preserve">μl du réactif N sont rajoutés au </w:t>
      </w:r>
      <w:r>
        <w:rPr>
          <w:rFonts w:ascii="Times New Roman" w:hAnsi="Times New Roman" w:cs="Times New Roman"/>
          <w:color w:val="000000"/>
          <w:sz w:val="24"/>
          <w:szCs w:val="24"/>
        </w:rPr>
        <w:t>20μl du sérum à tester et après 10</w:t>
      </w:r>
      <w:r w:rsidRPr="00551628">
        <w:rPr>
          <w:rFonts w:ascii="Times New Roman" w:hAnsi="Times New Roman" w:cs="Times New Roman"/>
          <w:color w:val="000000"/>
          <w:sz w:val="24"/>
          <w:szCs w:val="24"/>
        </w:rPr>
        <w:t xml:space="preserve"> minutes d’attente à température ambiante, le mélange est m</w:t>
      </w:r>
      <w:r>
        <w:rPr>
          <w:rFonts w:ascii="Times New Roman" w:hAnsi="Times New Roman" w:cs="Times New Roman"/>
          <w:color w:val="000000"/>
          <w:sz w:val="24"/>
          <w:szCs w:val="24"/>
        </w:rPr>
        <w:t xml:space="preserve">is </w:t>
      </w:r>
      <w:r w:rsidRPr="00551628">
        <w:rPr>
          <w:rFonts w:ascii="Times New Roman" w:hAnsi="Times New Roman" w:cs="Times New Roman"/>
          <w:color w:val="000000"/>
          <w:sz w:val="24"/>
          <w:szCs w:val="24"/>
        </w:rPr>
        <w:t>dans le spectrophotomètre pour mesurer l’absorbance (Abs),</w:t>
      </w:r>
      <w:r>
        <w:rPr>
          <w:rFonts w:ascii="Times New Roman" w:hAnsi="Times New Roman" w:cs="Times New Roman"/>
          <w:color w:val="000000"/>
          <w:sz w:val="24"/>
          <w:szCs w:val="24"/>
        </w:rPr>
        <w:t xml:space="preserve"> à une longueur </w:t>
      </w:r>
      <w:r w:rsidRPr="00551628">
        <w:rPr>
          <w:rFonts w:ascii="Times New Roman" w:hAnsi="Times New Roman" w:cs="Times New Roman"/>
          <w:color w:val="000000"/>
          <w:sz w:val="24"/>
          <w:szCs w:val="24"/>
        </w:rPr>
        <w:t xml:space="preserve">d’onde de 555 nm à une température de 15 à 25°C. Pour le blanc on n’utilise pas le réactif N. L’ajustement du zéro de l’instrument (spectrophotomètre) se fait </w:t>
      </w:r>
      <w:r>
        <w:rPr>
          <w:rFonts w:ascii="Times New Roman" w:hAnsi="Times New Roman" w:cs="Times New Roman"/>
          <w:color w:val="000000"/>
          <w:sz w:val="24"/>
          <w:szCs w:val="24"/>
        </w:rPr>
        <w:t>avec de l’</w:t>
      </w:r>
      <w:r w:rsidRPr="00551628">
        <w:rPr>
          <w:rFonts w:ascii="Times New Roman" w:hAnsi="Times New Roman" w:cs="Times New Roman"/>
          <w:color w:val="000000"/>
          <w:sz w:val="24"/>
          <w:szCs w:val="24"/>
        </w:rPr>
        <w:t xml:space="preserve">eau distillée. </w:t>
      </w:r>
    </w:p>
    <w:p w:rsidR="00DC664D" w:rsidRDefault="00DC664D" w:rsidP="00DC664D">
      <w:pPr>
        <w:autoSpaceDE w:val="0"/>
        <w:autoSpaceDN w:val="0"/>
        <w:adjustRightInd w:val="0"/>
        <w:spacing w:after="0" w:line="360" w:lineRule="auto"/>
        <w:ind w:firstLine="708"/>
        <w:jc w:val="both"/>
        <w:rPr>
          <w:rFonts w:ascii="Times New Roman" w:hAnsi="Times New Roman" w:cs="Times New Roman"/>
          <w:color w:val="000000"/>
          <w:sz w:val="24"/>
          <w:szCs w:val="24"/>
        </w:rPr>
      </w:pPr>
      <w:r w:rsidRPr="00551628">
        <w:rPr>
          <w:rFonts w:ascii="Times New Roman" w:hAnsi="Times New Roman" w:cs="Times New Roman"/>
          <w:color w:val="000000"/>
          <w:sz w:val="24"/>
          <w:szCs w:val="24"/>
        </w:rPr>
        <w:t xml:space="preserve">Nous avons suivi le même protocole pour la </w:t>
      </w:r>
      <w:r w:rsidRPr="000C1556">
        <w:rPr>
          <w:rFonts w:ascii="Times New Roman" w:hAnsi="Times New Roman" w:cs="Times New Roman"/>
          <w:b/>
          <w:bCs/>
          <w:i/>
          <w:iCs/>
          <w:color w:val="000000"/>
          <w:sz w:val="24"/>
          <w:szCs w:val="24"/>
        </w:rPr>
        <w:t>bilirubine directe</w:t>
      </w:r>
      <w:r w:rsidRPr="00551628">
        <w:rPr>
          <w:rFonts w:ascii="Times New Roman" w:hAnsi="Times New Roman" w:cs="Times New Roman"/>
          <w:color w:val="000000"/>
          <w:sz w:val="24"/>
          <w:szCs w:val="24"/>
        </w:rPr>
        <w:t xml:space="preserve"> avec le changement du réactif T par </w:t>
      </w:r>
      <w:r>
        <w:rPr>
          <w:rFonts w:ascii="Times New Roman" w:hAnsi="Times New Roman" w:cs="Times New Roman"/>
          <w:color w:val="000000"/>
          <w:sz w:val="24"/>
          <w:szCs w:val="24"/>
        </w:rPr>
        <w:t xml:space="preserve">un autre réactif appelé : </w:t>
      </w:r>
      <w:r w:rsidRPr="00551628">
        <w:rPr>
          <w:rFonts w:ascii="Times New Roman" w:hAnsi="Times New Roman" w:cs="Times New Roman"/>
          <w:color w:val="000000"/>
          <w:sz w:val="24"/>
          <w:szCs w:val="24"/>
        </w:rPr>
        <w:t xml:space="preserve">le réactif D. </w:t>
      </w:r>
    </w:p>
    <w:p w:rsidR="00DC664D" w:rsidRPr="00551628" w:rsidRDefault="00DC664D" w:rsidP="00DC664D">
      <w:pPr>
        <w:autoSpaceDE w:val="0"/>
        <w:autoSpaceDN w:val="0"/>
        <w:adjustRightInd w:val="0"/>
        <w:spacing w:after="0" w:line="360" w:lineRule="auto"/>
        <w:ind w:firstLine="708"/>
        <w:jc w:val="both"/>
        <w:rPr>
          <w:rFonts w:ascii="Times New Roman" w:hAnsi="Times New Roman" w:cs="Times New Roman"/>
          <w:color w:val="000000"/>
          <w:sz w:val="24"/>
          <w:szCs w:val="24"/>
        </w:rPr>
      </w:pPr>
      <w:r w:rsidRPr="00551628">
        <w:rPr>
          <w:rFonts w:ascii="Times New Roman" w:hAnsi="Times New Roman" w:cs="Times New Roman"/>
          <w:color w:val="000000"/>
          <w:sz w:val="24"/>
          <w:szCs w:val="24"/>
        </w:rPr>
        <w:t xml:space="preserve">Le calcul du taux de la bilirubine </w:t>
      </w:r>
      <w:r>
        <w:rPr>
          <w:rFonts w:ascii="Times New Roman" w:hAnsi="Times New Roman" w:cs="Times New Roman"/>
          <w:color w:val="000000"/>
          <w:sz w:val="24"/>
          <w:szCs w:val="24"/>
        </w:rPr>
        <w:t xml:space="preserve">est </w:t>
      </w:r>
      <w:r w:rsidRPr="00551628">
        <w:rPr>
          <w:rFonts w:ascii="Times New Roman" w:hAnsi="Times New Roman" w:cs="Times New Roman"/>
          <w:color w:val="000000"/>
          <w:sz w:val="24"/>
          <w:szCs w:val="24"/>
        </w:rPr>
        <w:t xml:space="preserve">comme suit : </w:t>
      </w:r>
    </w:p>
    <w:p w:rsidR="00DC664D" w:rsidRPr="00F21C26" w:rsidRDefault="00DC664D" w:rsidP="00DC664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Bilirubine (mg/</w:t>
      </w:r>
      <w:r w:rsidRPr="00551628">
        <w:rPr>
          <w:rFonts w:ascii="Times New Roman" w:hAnsi="Times New Roman" w:cs="Times New Roman"/>
          <w:color w:val="000000"/>
          <w:sz w:val="24"/>
          <w:szCs w:val="24"/>
        </w:rPr>
        <w:t>l) = (Abs Echant</w:t>
      </w:r>
      <w:r>
        <w:rPr>
          <w:rFonts w:ascii="Times New Roman" w:hAnsi="Times New Roman" w:cs="Times New Roman"/>
          <w:color w:val="000000"/>
          <w:sz w:val="24"/>
          <w:szCs w:val="24"/>
        </w:rPr>
        <w:t xml:space="preserve">illon </w:t>
      </w:r>
      <w:r w:rsidRPr="00551628">
        <w:rPr>
          <w:rFonts w:ascii="Times New Roman" w:hAnsi="Times New Roman" w:cs="Times New Roman"/>
          <w:color w:val="000000"/>
          <w:sz w:val="24"/>
          <w:szCs w:val="24"/>
        </w:rPr>
        <w:t>– Abs Echant</w:t>
      </w:r>
      <w:r>
        <w:rPr>
          <w:rFonts w:ascii="Times New Roman" w:hAnsi="Times New Roman" w:cs="Times New Roman"/>
          <w:color w:val="000000"/>
          <w:sz w:val="24"/>
          <w:szCs w:val="24"/>
        </w:rPr>
        <w:t xml:space="preserve">illon. </w:t>
      </w:r>
      <w:r w:rsidRPr="00551628">
        <w:rPr>
          <w:rFonts w:ascii="Times New Roman" w:hAnsi="Times New Roman" w:cs="Times New Roman"/>
          <w:color w:val="000000"/>
          <w:sz w:val="24"/>
          <w:szCs w:val="24"/>
        </w:rPr>
        <w:t>Blanc) x facteur</w:t>
      </w:r>
      <w:r>
        <w:rPr>
          <w:rFonts w:ascii="Times New Roman" w:hAnsi="Times New Roman" w:cs="Times New Roman"/>
          <w:color w:val="000000"/>
          <w:sz w:val="24"/>
          <w:szCs w:val="24"/>
        </w:rPr>
        <w:t xml:space="preserve"> (</w:t>
      </w:r>
      <w:r w:rsidRPr="00F21C26">
        <w:rPr>
          <w:rFonts w:ascii="Times New Roman" w:hAnsi="Times New Roman" w:cs="Times New Roman"/>
          <w:color w:val="000000"/>
          <w:sz w:val="24"/>
          <w:szCs w:val="24"/>
        </w:rPr>
        <w:t>Facteur pour la bilirubine totale</w:t>
      </w:r>
      <w:r>
        <w:rPr>
          <w:rFonts w:ascii="Times New Roman" w:hAnsi="Times New Roman" w:cs="Times New Roman"/>
          <w:color w:val="000000"/>
          <w:sz w:val="24"/>
          <w:szCs w:val="24"/>
        </w:rPr>
        <w:t>=</w:t>
      </w:r>
      <w:r w:rsidRPr="00F21C26">
        <w:rPr>
          <w:rFonts w:ascii="Times New Roman" w:hAnsi="Times New Roman" w:cs="Times New Roman"/>
          <w:color w:val="000000"/>
          <w:sz w:val="24"/>
          <w:szCs w:val="24"/>
        </w:rPr>
        <w:t xml:space="preserve"> 227,24</w:t>
      </w:r>
      <w:r>
        <w:rPr>
          <w:rFonts w:ascii="Times New Roman" w:hAnsi="Times New Roman" w:cs="Times New Roman"/>
          <w:color w:val="000000"/>
          <w:sz w:val="24"/>
          <w:szCs w:val="24"/>
        </w:rPr>
        <w:t xml:space="preserve">, </w:t>
      </w:r>
      <w:r w:rsidRPr="00F21C26">
        <w:rPr>
          <w:rFonts w:ascii="Times New Roman" w:hAnsi="Times New Roman" w:cs="Times New Roman"/>
          <w:color w:val="000000"/>
          <w:sz w:val="24"/>
          <w:szCs w:val="24"/>
        </w:rPr>
        <w:t>pour la bilirubine</w:t>
      </w:r>
      <w:r>
        <w:rPr>
          <w:rFonts w:ascii="Times New Roman" w:hAnsi="Times New Roman" w:cs="Times New Roman"/>
          <w:color w:val="000000"/>
          <w:sz w:val="24"/>
          <w:szCs w:val="24"/>
        </w:rPr>
        <w:t>=</w:t>
      </w:r>
      <w:r w:rsidRPr="00F21C26">
        <w:rPr>
          <w:rFonts w:ascii="Times New Roman" w:hAnsi="Times New Roman" w:cs="Times New Roman"/>
          <w:color w:val="000000"/>
          <w:sz w:val="24"/>
          <w:szCs w:val="24"/>
        </w:rPr>
        <w:t xml:space="preserve"> 117,8</w:t>
      </w:r>
      <w:r>
        <w:rPr>
          <w:rFonts w:ascii="Times New Roman" w:hAnsi="Times New Roman" w:cs="Times New Roman"/>
          <w:color w:val="000000"/>
          <w:sz w:val="24"/>
          <w:szCs w:val="24"/>
        </w:rPr>
        <w:t>)</w:t>
      </w:r>
    </w:p>
    <w:p w:rsidR="00DC664D" w:rsidRPr="00F21C26" w:rsidRDefault="00DC664D" w:rsidP="00A21FB0">
      <w:pPr>
        <w:pStyle w:val="Paragraphedeliste"/>
        <w:numPr>
          <w:ilvl w:val="0"/>
          <w:numId w:val="44"/>
        </w:numPr>
        <w:spacing w:after="160" w:line="360" w:lineRule="auto"/>
        <w:jc w:val="both"/>
        <w:rPr>
          <w:rFonts w:asciiTheme="majorBidi" w:hAnsiTheme="majorBidi" w:cs="Times New Roman"/>
          <w:sz w:val="24"/>
          <w:szCs w:val="24"/>
        </w:rPr>
      </w:pPr>
      <w:r w:rsidRPr="00F21C26">
        <w:rPr>
          <w:rFonts w:asciiTheme="majorBidi" w:hAnsiTheme="majorBidi" w:cs="Times New Roman"/>
          <w:b/>
          <w:bCs/>
          <w:sz w:val="24"/>
          <w:szCs w:val="24"/>
        </w:rPr>
        <w:t xml:space="preserve">Valeurs usuelles : </w:t>
      </w:r>
      <w:r w:rsidRPr="00F21C26">
        <w:rPr>
          <w:rFonts w:asciiTheme="majorBidi" w:hAnsiTheme="majorBidi" w:cs="Times New Roman"/>
          <w:sz w:val="24"/>
          <w:szCs w:val="24"/>
        </w:rPr>
        <w:t xml:space="preserve">Bilirubine totale : </w:t>
      </w:r>
      <w:r w:rsidRPr="00F21C26">
        <w:rPr>
          <w:rFonts w:asciiTheme="majorBidi" w:hAnsiTheme="majorBidi" w:cs="Times New Roman"/>
          <w:b/>
          <w:bCs/>
          <w:sz w:val="24"/>
          <w:szCs w:val="24"/>
        </w:rPr>
        <w:t xml:space="preserve">0 - 10 mg/l. </w:t>
      </w:r>
      <w:r w:rsidRPr="00F21C26">
        <w:rPr>
          <w:rFonts w:asciiTheme="majorBidi" w:hAnsiTheme="majorBidi" w:cs="Times New Roman"/>
          <w:sz w:val="24"/>
          <w:szCs w:val="24"/>
        </w:rPr>
        <w:t xml:space="preserve">Bilirubine direct : </w:t>
      </w:r>
      <w:r w:rsidRPr="00F21C26">
        <w:rPr>
          <w:rFonts w:asciiTheme="majorBidi" w:hAnsiTheme="majorBidi" w:cs="Times New Roman"/>
          <w:b/>
          <w:bCs/>
          <w:sz w:val="24"/>
          <w:szCs w:val="24"/>
        </w:rPr>
        <w:t>0 - 3 mg/l</w:t>
      </w:r>
      <w:r w:rsidRPr="00F21C26">
        <w:rPr>
          <w:rFonts w:asciiTheme="majorBidi" w:hAnsiTheme="majorBidi" w:cs="Times New Roman"/>
          <w:sz w:val="24"/>
          <w:szCs w:val="24"/>
        </w:rPr>
        <w:t>.</w:t>
      </w:r>
    </w:p>
    <w:p w:rsidR="00DC664D" w:rsidRPr="007025C3" w:rsidRDefault="00DC664D" w:rsidP="00DC664D">
      <w:pPr>
        <w:pStyle w:val="Paragraphedeliste"/>
        <w:autoSpaceDE w:val="0"/>
        <w:autoSpaceDN w:val="0"/>
        <w:adjustRightInd w:val="0"/>
        <w:spacing w:after="0" w:line="360" w:lineRule="auto"/>
        <w:rPr>
          <w:rFonts w:asciiTheme="majorBidi" w:hAnsiTheme="majorBidi" w:cs="Times New Roman"/>
          <w:sz w:val="24"/>
          <w:szCs w:val="24"/>
        </w:rPr>
      </w:pPr>
    </w:p>
    <w:p w:rsidR="00DC664D" w:rsidRPr="001874EC" w:rsidRDefault="00DC664D" w:rsidP="00DC664D">
      <w:pPr>
        <w:autoSpaceDE w:val="0"/>
        <w:autoSpaceDN w:val="0"/>
        <w:adjustRightInd w:val="0"/>
        <w:spacing w:after="0" w:line="360" w:lineRule="auto"/>
        <w:rPr>
          <w:rFonts w:asciiTheme="majorBidi" w:hAnsiTheme="majorBidi" w:cs="Times New Roman"/>
          <w:b/>
          <w:bCs/>
          <w:color w:val="7030A0"/>
          <w:sz w:val="24"/>
          <w:szCs w:val="24"/>
        </w:rPr>
      </w:pPr>
      <w:r w:rsidRPr="001874EC">
        <w:rPr>
          <w:rFonts w:asciiTheme="majorBidi" w:hAnsiTheme="majorBidi" w:cs="Times New Roman"/>
          <w:b/>
          <w:bCs/>
          <w:color w:val="7030A0"/>
          <w:sz w:val="24"/>
          <w:szCs w:val="24"/>
        </w:rPr>
        <w:t>5.</w:t>
      </w:r>
      <w:r>
        <w:rPr>
          <w:rFonts w:asciiTheme="majorBidi" w:hAnsiTheme="majorBidi" w:cs="Times New Roman"/>
          <w:b/>
          <w:bCs/>
          <w:color w:val="7030A0"/>
          <w:sz w:val="24"/>
          <w:szCs w:val="24"/>
        </w:rPr>
        <w:t>1.</w:t>
      </w:r>
      <w:r w:rsidRPr="001874EC">
        <w:rPr>
          <w:rFonts w:asciiTheme="majorBidi" w:hAnsiTheme="majorBidi" w:cs="Times New Roman"/>
          <w:b/>
          <w:bCs/>
          <w:color w:val="7030A0"/>
          <w:sz w:val="24"/>
          <w:szCs w:val="24"/>
        </w:rPr>
        <w:t xml:space="preserve">3. Dosage d’albumine </w:t>
      </w:r>
    </w:p>
    <w:p w:rsidR="00DC664D" w:rsidRPr="00301F23" w:rsidRDefault="00DC664D" w:rsidP="00A21FB0">
      <w:pPr>
        <w:pStyle w:val="Paragraphedeliste"/>
        <w:numPr>
          <w:ilvl w:val="0"/>
          <w:numId w:val="25"/>
        </w:numPr>
        <w:autoSpaceDE w:val="0"/>
        <w:autoSpaceDN w:val="0"/>
        <w:adjustRightInd w:val="0"/>
        <w:spacing w:after="0" w:line="360" w:lineRule="auto"/>
        <w:rPr>
          <w:rFonts w:asciiTheme="majorBidi" w:hAnsiTheme="majorBidi" w:cs="Times New Roman"/>
          <w:b/>
          <w:bCs/>
          <w:sz w:val="24"/>
          <w:szCs w:val="24"/>
        </w:rPr>
      </w:pPr>
      <w:r w:rsidRPr="00301F23">
        <w:rPr>
          <w:rFonts w:asciiTheme="majorBidi" w:hAnsiTheme="majorBidi" w:cs="Times New Roman"/>
          <w:b/>
          <w:bCs/>
          <w:sz w:val="24"/>
          <w:szCs w:val="24"/>
        </w:rPr>
        <w:t>Principe</w:t>
      </w:r>
    </w:p>
    <w:p w:rsidR="00DC664D" w:rsidRDefault="00DC664D" w:rsidP="00DC664D">
      <w:pPr>
        <w:autoSpaceDE w:val="0"/>
        <w:autoSpaceDN w:val="0"/>
        <w:adjustRightInd w:val="0"/>
        <w:spacing w:after="0" w:line="360" w:lineRule="auto"/>
        <w:jc w:val="both"/>
        <w:rPr>
          <w:rFonts w:asciiTheme="majorBidi" w:hAnsiTheme="majorBidi" w:cs="Times New Roman"/>
          <w:sz w:val="24"/>
          <w:szCs w:val="24"/>
        </w:rPr>
      </w:pPr>
      <w:r w:rsidRPr="00802B9D">
        <w:rPr>
          <w:rFonts w:asciiTheme="majorBidi" w:hAnsiTheme="majorBidi" w:cs="Times New Roman"/>
          <w:sz w:val="24"/>
          <w:szCs w:val="24"/>
        </w:rPr>
        <w:t>En milieu tamponné à pH 4,2 le vert de bromocrésol se combine à l'albumine pour former un complexe coloré dont l’absorbance mesurée à 630 nm (620-640) est proportionnelle à la concentration en albumine dans le spécimen.</w:t>
      </w:r>
    </w:p>
    <w:p w:rsidR="00DC664D" w:rsidRDefault="00DC664D" w:rsidP="00A21FB0">
      <w:pPr>
        <w:pStyle w:val="Paragraphedeliste"/>
        <w:numPr>
          <w:ilvl w:val="0"/>
          <w:numId w:val="28"/>
        </w:numPr>
        <w:spacing w:after="160" w:line="360" w:lineRule="auto"/>
        <w:jc w:val="both"/>
        <w:rPr>
          <w:rFonts w:ascii="Times New Roman" w:hAnsi="Times New Roman" w:cs="Times New Roman"/>
          <w:b/>
          <w:bCs/>
          <w:color w:val="000000"/>
          <w:sz w:val="24"/>
          <w:szCs w:val="24"/>
        </w:rPr>
      </w:pPr>
      <w:r w:rsidRPr="00301F23">
        <w:rPr>
          <w:rFonts w:ascii="Times New Roman" w:hAnsi="Times New Roman" w:cs="Times New Roman"/>
          <w:b/>
          <w:bCs/>
          <w:color w:val="000000"/>
          <w:sz w:val="24"/>
          <w:szCs w:val="24"/>
        </w:rPr>
        <w:t>Réactifs utilisés :</w:t>
      </w:r>
      <w:r w:rsidRPr="006C20D0">
        <w:rPr>
          <w:rFonts w:asciiTheme="majorBidi" w:hAnsiTheme="majorBidi" w:cs="Times New Roman"/>
          <w:b/>
          <w:bCs/>
          <w:sz w:val="24"/>
          <w:szCs w:val="24"/>
        </w:rPr>
        <w:t>Réf : 20094; (500 Tests)</w:t>
      </w:r>
    </w:p>
    <w:p w:rsidR="00DC664D" w:rsidRPr="00301F23" w:rsidRDefault="00DC664D" w:rsidP="00DC664D">
      <w:pPr>
        <w:spacing w:line="360" w:lineRule="auto"/>
        <w:jc w:val="both"/>
        <w:rPr>
          <w:rFonts w:ascii="Times New Roman" w:hAnsi="Times New Roman" w:cs="Times New Roman"/>
          <w:b/>
          <w:bCs/>
          <w:color w:val="000000"/>
          <w:sz w:val="24"/>
          <w:szCs w:val="24"/>
        </w:rPr>
      </w:pPr>
      <w:r w:rsidRPr="00301F23">
        <w:rPr>
          <w:rFonts w:asciiTheme="majorBidi" w:hAnsiTheme="majorBidi" w:cs="Times New Roman"/>
          <w:sz w:val="24"/>
          <w:szCs w:val="24"/>
        </w:rPr>
        <w:t>Le vert de bromocrésol (0,14g/l, 75mmol/l, 7ml/l)</w:t>
      </w:r>
    </w:p>
    <w:p w:rsidR="00DC664D" w:rsidRPr="00301F23" w:rsidRDefault="00DC664D" w:rsidP="00A21FB0">
      <w:pPr>
        <w:pStyle w:val="Paragraphedeliste"/>
        <w:numPr>
          <w:ilvl w:val="0"/>
          <w:numId w:val="26"/>
        </w:numPr>
        <w:autoSpaceDE w:val="0"/>
        <w:autoSpaceDN w:val="0"/>
        <w:adjustRightInd w:val="0"/>
        <w:spacing w:after="0" w:line="360" w:lineRule="auto"/>
        <w:jc w:val="both"/>
        <w:rPr>
          <w:rFonts w:asciiTheme="majorBidi" w:hAnsiTheme="majorBidi" w:cs="Times New Roman"/>
          <w:b/>
          <w:bCs/>
          <w:sz w:val="24"/>
          <w:szCs w:val="24"/>
        </w:rPr>
      </w:pPr>
      <w:r w:rsidRPr="00301F23">
        <w:rPr>
          <w:rFonts w:asciiTheme="majorBidi" w:hAnsiTheme="majorBidi" w:cs="Times New Roman"/>
          <w:b/>
          <w:bCs/>
          <w:sz w:val="24"/>
          <w:szCs w:val="24"/>
        </w:rPr>
        <w:t xml:space="preserve">Mode opératoire </w:t>
      </w:r>
    </w:p>
    <w:p w:rsidR="00DC664D" w:rsidRDefault="00DC664D" w:rsidP="00975870">
      <w:pPr>
        <w:autoSpaceDE w:val="0"/>
        <w:autoSpaceDN w:val="0"/>
        <w:adjustRightInd w:val="0"/>
        <w:spacing w:after="0" w:line="360" w:lineRule="auto"/>
        <w:ind w:firstLine="360"/>
        <w:jc w:val="both"/>
        <w:rPr>
          <w:rFonts w:asciiTheme="majorBidi" w:hAnsiTheme="majorBidi" w:cs="Times New Roman"/>
          <w:sz w:val="24"/>
          <w:szCs w:val="24"/>
        </w:rPr>
      </w:pPr>
      <w:r>
        <w:rPr>
          <w:rFonts w:asciiTheme="majorBidi" w:hAnsiTheme="majorBidi" w:cs="Times New Roman"/>
          <w:sz w:val="24"/>
          <w:szCs w:val="24"/>
        </w:rPr>
        <w:t xml:space="preserve">Un ml </w:t>
      </w:r>
      <w:r w:rsidRPr="00006EB7">
        <w:rPr>
          <w:rFonts w:asciiTheme="majorBidi" w:hAnsiTheme="majorBidi" w:cs="Times New Roman"/>
          <w:sz w:val="24"/>
          <w:szCs w:val="24"/>
        </w:rPr>
        <w:t>de réactif de travail est additionné à 10µl de sérum. Après agitation, le mélange est i</w:t>
      </w:r>
      <w:r>
        <w:rPr>
          <w:rFonts w:asciiTheme="majorBidi" w:hAnsiTheme="majorBidi" w:cs="Times New Roman"/>
          <w:sz w:val="24"/>
          <w:szCs w:val="24"/>
        </w:rPr>
        <w:t xml:space="preserve">ncubé pendant 10 min dans un bain </w:t>
      </w:r>
      <w:r w:rsidRPr="00006EB7">
        <w:rPr>
          <w:rFonts w:asciiTheme="majorBidi" w:hAnsiTheme="majorBidi" w:cs="Times New Roman"/>
          <w:sz w:val="24"/>
          <w:szCs w:val="24"/>
        </w:rPr>
        <w:t>marie à une température ambiante</w:t>
      </w:r>
      <w:r>
        <w:rPr>
          <w:rFonts w:asciiTheme="majorBidi" w:hAnsiTheme="majorBidi" w:cs="Times New Roman"/>
          <w:sz w:val="24"/>
          <w:szCs w:val="24"/>
        </w:rPr>
        <w:t xml:space="preserve"> (37c°)</w:t>
      </w:r>
      <w:r w:rsidRPr="00006EB7">
        <w:rPr>
          <w:rFonts w:asciiTheme="majorBidi" w:hAnsiTheme="majorBidi" w:cs="Times New Roman"/>
          <w:sz w:val="24"/>
          <w:szCs w:val="24"/>
        </w:rPr>
        <w:t xml:space="preserve">. Le spectrophotomètre est ajusté avec de l’eau distillée. Les valeurs de l’absorbance des échantillons sont ensuite lues à une longueur d’onde de </w:t>
      </w:r>
      <w:r>
        <w:rPr>
          <w:rFonts w:asciiTheme="majorBidi" w:hAnsiTheme="majorBidi" w:cs="Times New Roman"/>
          <w:sz w:val="24"/>
          <w:szCs w:val="24"/>
        </w:rPr>
        <w:t>630</w:t>
      </w:r>
      <w:r w:rsidRPr="00006EB7">
        <w:rPr>
          <w:rFonts w:asciiTheme="majorBidi" w:hAnsiTheme="majorBidi" w:cs="Times New Roman"/>
          <w:sz w:val="24"/>
          <w:szCs w:val="24"/>
        </w:rPr>
        <w:t>nm.</w:t>
      </w:r>
    </w:p>
    <w:p w:rsidR="00DC664D" w:rsidRPr="001874EC"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Pr="00301F23" w:rsidRDefault="00DC664D" w:rsidP="00A21FB0">
      <w:pPr>
        <w:pStyle w:val="Paragraphedeliste"/>
        <w:numPr>
          <w:ilvl w:val="0"/>
          <w:numId w:val="29"/>
        </w:numPr>
        <w:autoSpaceDE w:val="0"/>
        <w:autoSpaceDN w:val="0"/>
        <w:adjustRightInd w:val="0"/>
        <w:spacing w:after="0" w:line="240" w:lineRule="auto"/>
        <w:rPr>
          <w:rFonts w:ascii="Times New Roman" w:hAnsi="Times New Roman" w:cs="Times New Roman"/>
          <w:b/>
          <w:bCs/>
          <w:sz w:val="32"/>
          <w:szCs w:val="32"/>
        </w:rPr>
      </w:pPr>
      <w:r w:rsidRPr="00301F23">
        <w:rPr>
          <w:rFonts w:asciiTheme="majorBidi" w:hAnsiTheme="majorBidi" w:cs="Times New Roman"/>
          <w:b/>
          <w:bCs/>
          <w:sz w:val="24"/>
          <w:szCs w:val="24"/>
        </w:rPr>
        <w:t xml:space="preserve">Valeurs usuelles : </w:t>
      </w:r>
      <w:r w:rsidRPr="00301F23">
        <w:rPr>
          <w:rFonts w:ascii="Times New Roman" w:hAnsi="Times New Roman" w:cs="Times New Roman"/>
          <w:b/>
          <w:bCs/>
          <w:sz w:val="24"/>
          <w:szCs w:val="24"/>
        </w:rPr>
        <w:t>35 - 60 g /l</w:t>
      </w:r>
    </w:p>
    <w:p w:rsidR="00DC664D" w:rsidRDefault="00DC664D" w:rsidP="00DC664D">
      <w:pPr>
        <w:autoSpaceDE w:val="0"/>
        <w:autoSpaceDN w:val="0"/>
        <w:adjustRightInd w:val="0"/>
        <w:spacing w:after="0" w:line="360" w:lineRule="auto"/>
        <w:jc w:val="both"/>
        <w:rPr>
          <w:rFonts w:asciiTheme="majorBidi" w:hAnsiTheme="majorBidi" w:cs="Times New Roman"/>
          <w:sz w:val="24"/>
          <w:szCs w:val="24"/>
        </w:rPr>
      </w:pPr>
    </w:p>
    <w:p w:rsidR="00DC664D" w:rsidRDefault="00DC664D" w:rsidP="00DC664D">
      <w:pPr>
        <w:autoSpaceDE w:val="0"/>
        <w:autoSpaceDN w:val="0"/>
        <w:adjustRightInd w:val="0"/>
        <w:spacing w:after="0" w:line="360" w:lineRule="auto"/>
        <w:jc w:val="both"/>
        <w:rPr>
          <w:rFonts w:asciiTheme="majorBidi" w:hAnsiTheme="majorBidi" w:cs="Times New Roman"/>
          <w:sz w:val="24"/>
          <w:szCs w:val="24"/>
        </w:rPr>
      </w:pPr>
    </w:p>
    <w:p w:rsidR="00DC664D" w:rsidRDefault="00DC664D" w:rsidP="00DC664D">
      <w:pPr>
        <w:autoSpaceDE w:val="0"/>
        <w:autoSpaceDN w:val="0"/>
        <w:adjustRightInd w:val="0"/>
        <w:spacing w:after="0" w:line="360" w:lineRule="auto"/>
        <w:jc w:val="both"/>
        <w:rPr>
          <w:rFonts w:asciiTheme="majorBidi" w:hAnsiTheme="majorBidi" w:cs="Times New Roman"/>
          <w:sz w:val="24"/>
          <w:szCs w:val="24"/>
        </w:rPr>
      </w:pPr>
    </w:p>
    <w:p w:rsidR="00DC664D" w:rsidRDefault="00DC664D" w:rsidP="00DC664D">
      <w:pPr>
        <w:autoSpaceDE w:val="0"/>
        <w:autoSpaceDN w:val="0"/>
        <w:adjustRightInd w:val="0"/>
        <w:spacing w:after="0" w:line="360" w:lineRule="auto"/>
        <w:jc w:val="both"/>
        <w:rPr>
          <w:rFonts w:asciiTheme="majorBidi" w:hAnsiTheme="majorBidi" w:cs="Times New Roman"/>
          <w:sz w:val="24"/>
          <w:szCs w:val="24"/>
        </w:rPr>
      </w:pPr>
    </w:p>
    <w:p w:rsidR="00DC664D" w:rsidRDefault="00DC664D" w:rsidP="00DC664D">
      <w:pPr>
        <w:autoSpaceDE w:val="0"/>
        <w:autoSpaceDN w:val="0"/>
        <w:adjustRightInd w:val="0"/>
        <w:spacing w:after="0" w:line="360" w:lineRule="auto"/>
        <w:jc w:val="both"/>
        <w:rPr>
          <w:rFonts w:asciiTheme="majorBidi" w:hAnsiTheme="majorBidi" w:cs="Times New Roman"/>
          <w:b/>
          <w:bCs/>
          <w:color w:val="7030A0"/>
          <w:sz w:val="24"/>
          <w:szCs w:val="24"/>
        </w:rPr>
      </w:pPr>
      <w:r w:rsidRPr="001874EC">
        <w:rPr>
          <w:rFonts w:asciiTheme="majorBidi" w:hAnsiTheme="majorBidi" w:cs="Times New Roman"/>
          <w:b/>
          <w:bCs/>
          <w:color w:val="7030A0"/>
          <w:sz w:val="24"/>
          <w:szCs w:val="24"/>
        </w:rPr>
        <w:lastRenderedPageBreak/>
        <w:t>5.</w:t>
      </w:r>
      <w:r>
        <w:rPr>
          <w:rFonts w:asciiTheme="majorBidi" w:hAnsiTheme="majorBidi" w:cs="Times New Roman"/>
          <w:b/>
          <w:bCs/>
          <w:color w:val="7030A0"/>
          <w:sz w:val="24"/>
          <w:szCs w:val="24"/>
        </w:rPr>
        <w:t>1.</w:t>
      </w:r>
      <w:r w:rsidRPr="001874EC">
        <w:rPr>
          <w:rFonts w:asciiTheme="majorBidi" w:hAnsiTheme="majorBidi" w:cs="Times New Roman"/>
          <w:b/>
          <w:bCs/>
          <w:color w:val="7030A0"/>
          <w:sz w:val="24"/>
          <w:szCs w:val="24"/>
        </w:rPr>
        <w:t xml:space="preserve">4. Dosage de protéines totales </w:t>
      </w:r>
    </w:p>
    <w:p w:rsidR="00DC664D" w:rsidRPr="00301F23" w:rsidRDefault="00DC664D" w:rsidP="00A21FB0">
      <w:pPr>
        <w:pStyle w:val="Paragraphedeliste"/>
        <w:numPr>
          <w:ilvl w:val="0"/>
          <w:numId w:val="27"/>
        </w:numPr>
        <w:autoSpaceDE w:val="0"/>
        <w:autoSpaceDN w:val="0"/>
        <w:adjustRightInd w:val="0"/>
        <w:spacing w:after="0" w:line="360" w:lineRule="auto"/>
        <w:jc w:val="both"/>
        <w:rPr>
          <w:rFonts w:asciiTheme="majorBidi" w:hAnsiTheme="majorBidi" w:cs="Times New Roman"/>
          <w:b/>
          <w:bCs/>
          <w:color w:val="7030A0"/>
          <w:sz w:val="24"/>
          <w:szCs w:val="24"/>
        </w:rPr>
      </w:pPr>
      <w:r w:rsidRPr="00301F23">
        <w:rPr>
          <w:rFonts w:asciiTheme="majorBidi" w:hAnsiTheme="majorBidi" w:cs="Times New Roman"/>
          <w:b/>
          <w:bCs/>
          <w:sz w:val="24"/>
          <w:szCs w:val="24"/>
        </w:rPr>
        <w:t xml:space="preserve">Principe </w:t>
      </w:r>
    </w:p>
    <w:p w:rsidR="00DC664D" w:rsidRPr="001127B9" w:rsidRDefault="00DC664D" w:rsidP="004E2073">
      <w:pPr>
        <w:autoSpaceDE w:val="0"/>
        <w:autoSpaceDN w:val="0"/>
        <w:adjustRightInd w:val="0"/>
        <w:spacing w:after="0" w:line="360" w:lineRule="auto"/>
        <w:ind w:firstLine="284"/>
        <w:rPr>
          <w:rFonts w:asciiTheme="majorBidi" w:hAnsiTheme="majorBidi" w:cs="Times New Roman"/>
          <w:sz w:val="24"/>
          <w:szCs w:val="24"/>
        </w:rPr>
      </w:pPr>
      <w:r w:rsidRPr="001127B9">
        <w:rPr>
          <w:rFonts w:asciiTheme="majorBidi" w:hAnsiTheme="majorBidi" w:cs="Times New Roman"/>
          <w:sz w:val="24"/>
          <w:szCs w:val="24"/>
        </w:rPr>
        <w:t xml:space="preserve">Les protéines sériques </w:t>
      </w:r>
      <w:r>
        <w:rPr>
          <w:rFonts w:asciiTheme="majorBidi" w:hAnsiTheme="majorBidi" w:cs="Times New Roman"/>
          <w:sz w:val="24"/>
          <w:szCs w:val="24"/>
        </w:rPr>
        <w:t xml:space="preserve">forment un complexe bleu-violet </w:t>
      </w:r>
      <w:r w:rsidRPr="001127B9">
        <w:rPr>
          <w:rFonts w:asciiTheme="majorBidi" w:hAnsiTheme="majorBidi" w:cs="Times New Roman"/>
          <w:sz w:val="24"/>
          <w:szCs w:val="24"/>
        </w:rPr>
        <w:t>avec les se</w:t>
      </w:r>
      <w:r>
        <w:rPr>
          <w:rFonts w:asciiTheme="majorBidi" w:hAnsiTheme="majorBidi" w:cs="Times New Roman"/>
          <w:sz w:val="24"/>
          <w:szCs w:val="24"/>
        </w:rPr>
        <w:t xml:space="preserve">ls de cuivre en milieu alcalin. </w:t>
      </w:r>
      <w:r w:rsidRPr="001127B9">
        <w:rPr>
          <w:rFonts w:asciiTheme="majorBidi" w:hAnsiTheme="majorBidi" w:cs="Times New Roman"/>
          <w:sz w:val="24"/>
          <w:szCs w:val="24"/>
        </w:rPr>
        <w:t>(Réaction du type BIURET).</w:t>
      </w:r>
    </w:p>
    <w:p w:rsidR="00DC664D"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Pr="00301F23" w:rsidRDefault="00DC664D" w:rsidP="00A21FB0">
      <w:pPr>
        <w:pStyle w:val="Paragraphedeliste"/>
        <w:numPr>
          <w:ilvl w:val="0"/>
          <w:numId w:val="30"/>
        </w:numPr>
        <w:autoSpaceDE w:val="0"/>
        <w:autoSpaceDN w:val="0"/>
        <w:adjustRightInd w:val="0"/>
        <w:spacing w:after="0" w:line="360" w:lineRule="auto"/>
        <w:rPr>
          <w:rFonts w:asciiTheme="majorBidi" w:hAnsiTheme="majorBidi" w:cs="Times New Roman"/>
          <w:sz w:val="24"/>
          <w:szCs w:val="24"/>
        </w:rPr>
      </w:pPr>
      <w:r w:rsidRPr="00301F23">
        <w:rPr>
          <w:rFonts w:asciiTheme="majorBidi" w:hAnsiTheme="majorBidi" w:cs="Times New Roman"/>
          <w:b/>
          <w:bCs/>
          <w:sz w:val="24"/>
          <w:szCs w:val="24"/>
        </w:rPr>
        <w:t>Réactifs utilisées : Réf. 20161, 450 Tests</w:t>
      </w:r>
    </w:p>
    <w:p w:rsidR="00DC664D" w:rsidRPr="00301F23" w:rsidRDefault="00DC664D" w:rsidP="00DC664D">
      <w:pPr>
        <w:pStyle w:val="Paragraphedeliste"/>
        <w:autoSpaceDE w:val="0"/>
        <w:autoSpaceDN w:val="0"/>
        <w:adjustRightInd w:val="0"/>
        <w:spacing w:after="0" w:line="360" w:lineRule="auto"/>
        <w:jc w:val="both"/>
        <w:rPr>
          <w:rFonts w:asciiTheme="majorBidi" w:hAnsiTheme="majorBidi" w:cs="Times New Roman"/>
          <w:b/>
          <w:bCs/>
          <w:sz w:val="24"/>
          <w:szCs w:val="24"/>
        </w:rPr>
      </w:pPr>
    </w:p>
    <w:p w:rsidR="00DC664D" w:rsidRPr="00C450A4" w:rsidRDefault="00DC664D" w:rsidP="00A21FB0">
      <w:pPr>
        <w:pStyle w:val="Paragraphedeliste"/>
        <w:numPr>
          <w:ilvl w:val="0"/>
          <w:numId w:val="31"/>
        </w:numPr>
        <w:autoSpaceDE w:val="0"/>
        <w:autoSpaceDN w:val="0"/>
        <w:adjustRightInd w:val="0"/>
        <w:spacing w:after="0" w:line="240" w:lineRule="auto"/>
        <w:rPr>
          <w:rFonts w:asciiTheme="majorBidi" w:hAnsiTheme="majorBidi" w:cs="Times New Roman"/>
          <w:sz w:val="24"/>
          <w:szCs w:val="24"/>
        </w:rPr>
      </w:pPr>
      <w:r w:rsidRPr="00C450A4">
        <w:rPr>
          <w:rFonts w:asciiTheme="majorBidi" w:hAnsiTheme="majorBidi" w:cs="Times New Roman"/>
          <w:b/>
          <w:bCs/>
          <w:sz w:val="24"/>
          <w:szCs w:val="24"/>
        </w:rPr>
        <w:t>Réactif 1</w:t>
      </w:r>
      <w:r>
        <w:rPr>
          <w:rFonts w:asciiTheme="majorBidi" w:hAnsiTheme="majorBidi" w:cs="Times New Roman"/>
          <w:b/>
          <w:bCs/>
          <w:sz w:val="24"/>
          <w:szCs w:val="24"/>
        </w:rPr>
        <w:t xml:space="preserve"> : </w:t>
      </w:r>
      <w:r w:rsidRPr="00C450A4">
        <w:rPr>
          <w:rFonts w:asciiTheme="majorBidi" w:hAnsiTheme="majorBidi" w:cs="Times New Roman"/>
          <w:sz w:val="24"/>
          <w:szCs w:val="24"/>
        </w:rPr>
        <w:t xml:space="preserve">Tartrate de Sodium Potassium </w:t>
      </w:r>
      <w:r>
        <w:rPr>
          <w:rFonts w:asciiTheme="majorBidi" w:hAnsiTheme="majorBidi" w:cs="Times New Roman"/>
          <w:sz w:val="24"/>
          <w:szCs w:val="24"/>
        </w:rPr>
        <w:t>(</w:t>
      </w:r>
      <w:r w:rsidRPr="00C450A4">
        <w:rPr>
          <w:rFonts w:asciiTheme="majorBidi" w:hAnsiTheme="majorBidi" w:cs="Times New Roman"/>
          <w:sz w:val="24"/>
          <w:szCs w:val="24"/>
        </w:rPr>
        <w:t>31.9 mmo/l</w:t>
      </w:r>
      <w:r>
        <w:rPr>
          <w:rFonts w:asciiTheme="majorBidi" w:hAnsiTheme="majorBidi" w:cs="Times New Roman"/>
          <w:sz w:val="24"/>
          <w:szCs w:val="24"/>
        </w:rPr>
        <w:t>), r</w:t>
      </w:r>
      <w:r w:rsidRPr="00C450A4">
        <w:rPr>
          <w:rFonts w:asciiTheme="majorBidi" w:hAnsiTheme="majorBidi" w:cs="Times New Roman"/>
          <w:sz w:val="24"/>
          <w:szCs w:val="24"/>
        </w:rPr>
        <w:t xml:space="preserve">éactif Hydroxyde de sodium </w:t>
      </w:r>
      <w:r>
        <w:rPr>
          <w:rFonts w:asciiTheme="majorBidi" w:hAnsiTheme="majorBidi" w:cs="Times New Roman"/>
          <w:sz w:val="24"/>
          <w:szCs w:val="24"/>
        </w:rPr>
        <w:t>(</w:t>
      </w:r>
      <w:r w:rsidRPr="00C450A4">
        <w:rPr>
          <w:rFonts w:asciiTheme="majorBidi" w:hAnsiTheme="majorBidi" w:cs="Times New Roman"/>
          <w:sz w:val="24"/>
          <w:szCs w:val="24"/>
        </w:rPr>
        <w:t>0.6 mol/l</w:t>
      </w:r>
      <w:r>
        <w:rPr>
          <w:rFonts w:asciiTheme="majorBidi" w:hAnsiTheme="majorBidi" w:cs="Times New Roman"/>
          <w:sz w:val="24"/>
          <w:szCs w:val="24"/>
        </w:rPr>
        <w:t>),</w:t>
      </w:r>
      <w:r w:rsidRPr="00C450A4">
        <w:rPr>
          <w:rFonts w:asciiTheme="majorBidi" w:hAnsiTheme="majorBidi" w:cs="Times New Roman"/>
          <w:sz w:val="24"/>
          <w:szCs w:val="24"/>
        </w:rPr>
        <w:t xml:space="preserve"> alcalin lodure de potassium </w:t>
      </w:r>
      <w:r>
        <w:rPr>
          <w:rFonts w:asciiTheme="majorBidi" w:hAnsiTheme="majorBidi" w:cs="Times New Roman"/>
          <w:sz w:val="24"/>
          <w:szCs w:val="24"/>
        </w:rPr>
        <w:t>(</w:t>
      </w:r>
      <w:r w:rsidRPr="00C450A4">
        <w:rPr>
          <w:rFonts w:asciiTheme="majorBidi" w:hAnsiTheme="majorBidi" w:cs="Times New Roman"/>
          <w:sz w:val="24"/>
          <w:szCs w:val="24"/>
        </w:rPr>
        <w:t>30 mmol/l</w:t>
      </w:r>
      <w:r>
        <w:rPr>
          <w:rFonts w:asciiTheme="majorBidi" w:hAnsiTheme="majorBidi" w:cs="Times New Roman"/>
          <w:sz w:val="24"/>
          <w:szCs w:val="24"/>
        </w:rPr>
        <w:t>).</w:t>
      </w:r>
    </w:p>
    <w:p w:rsidR="00DC664D" w:rsidRPr="00C450A4" w:rsidRDefault="00DC664D" w:rsidP="00DC664D">
      <w:pPr>
        <w:autoSpaceDE w:val="0"/>
        <w:autoSpaceDN w:val="0"/>
        <w:adjustRightInd w:val="0"/>
        <w:spacing w:after="0" w:line="240" w:lineRule="auto"/>
        <w:rPr>
          <w:rFonts w:asciiTheme="majorBidi" w:hAnsiTheme="majorBidi" w:cs="Times New Roman"/>
          <w:b/>
          <w:bCs/>
          <w:sz w:val="24"/>
          <w:szCs w:val="24"/>
        </w:rPr>
      </w:pPr>
    </w:p>
    <w:p w:rsidR="00DC664D" w:rsidRPr="00C450A4" w:rsidRDefault="00DC664D" w:rsidP="00A21FB0">
      <w:pPr>
        <w:pStyle w:val="Paragraphedeliste"/>
        <w:numPr>
          <w:ilvl w:val="0"/>
          <w:numId w:val="31"/>
        </w:numPr>
        <w:autoSpaceDE w:val="0"/>
        <w:autoSpaceDN w:val="0"/>
        <w:adjustRightInd w:val="0"/>
        <w:spacing w:after="0" w:line="240" w:lineRule="auto"/>
        <w:rPr>
          <w:rFonts w:asciiTheme="majorBidi" w:hAnsiTheme="majorBidi" w:cs="Times New Roman"/>
          <w:sz w:val="24"/>
          <w:szCs w:val="24"/>
        </w:rPr>
      </w:pPr>
      <w:r w:rsidRPr="00C450A4">
        <w:rPr>
          <w:rFonts w:asciiTheme="majorBidi" w:hAnsiTheme="majorBidi" w:cs="Times New Roman"/>
          <w:b/>
          <w:bCs/>
          <w:sz w:val="24"/>
          <w:szCs w:val="24"/>
        </w:rPr>
        <w:t>Réactif 2</w:t>
      </w:r>
      <w:r>
        <w:rPr>
          <w:rFonts w:asciiTheme="majorBidi" w:hAnsiTheme="majorBidi" w:cs="Times New Roman"/>
          <w:b/>
          <w:bCs/>
          <w:sz w:val="24"/>
          <w:szCs w:val="24"/>
        </w:rPr>
        <w:t xml:space="preserve"> : </w:t>
      </w:r>
      <w:r w:rsidRPr="00C450A4">
        <w:rPr>
          <w:rFonts w:asciiTheme="majorBidi" w:hAnsiTheme="majorBidi" w:cs="Times New Roman"/>
          <w:sz w:val="24"/>
          <w:szCs w:val="24"/>
        </w:rPr>
        <w:t xml:space="preserve">Sulfate de cuivre NOCIF </w:t>
      </w:r>
      <w:r>
        <w:rPr>
          <w:rFonts w:asciiTheme="majorBidi" w:hAnsiTheme="majorBidi" w:cs="Times New Roman"/>
          <w:sz w:val="24"/>
          <w:szCs w:val="24"/>
        </w:rPr>
        <w:t>(</w:t>
      </w:r>
      <w:r w:rsidRPr="00C450A4">
        <w:rPr>
          <w:rFonts w:asciiTheme="majorBidi" w:hAnsiTheme="majorBidi" w:cs="Times New Roman"/>
          <w:sz w:val="24"/>
          <w:szCs w:val="24"/>
        </w:rPr>
        <w:t>0.6 mol/l</w:t>
      </w:r>
      <w:r>
        <w:rPr>
          <w:rFonts w:asciiTheme="majorBidi" w:hAnsiTheme="majorBidi" w:cs="Times New Roman"/>
          <w:sz w:val="24"/>
          <w:szCs w:val="24"/>
        </w:rPr>
        <w:t>)</w:t>
      </w:r>
      <w:r w:rsidRPr="00C450A4">
        <w:rPr>
          <w:rFonts w:asciiTheme="majorBidi" w:hAnsiTheme="majorBidi" w:cs="Times New Roman"/>
          <w:sz w:val="24"/>
          <w:szCs w:val="24"/>
        </w:rPr>
        <w:t xml:space="preserve"> Réactif de coloration</w:t>
      </w:r>
      <w:r>
        <w:rPr>
          <w:rFonts w:asciiTheme="majorBidi" w:hAnsiTheme="majorBidi" w:cs="Times New Roman"/>
          <w:sz w:val="24"/>
          <w:szCs w:val="24"/>
        </w:rPr>
        <w:t>.</w:t>
      </w:r>
    </w:p>
    <w:p w:rsidR="00DC664D"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Pr="00301F23" w:rsidRDefault="00DC664D" w:rsidP="00A21FB0">
      <w:pPr>
        <w:pStyle w:val="Paragraphedeliste"/>
        <w:numPr>
          <w:ilvl w:val="0"/>
          <w:numId w:val="32"/>
        </w:numPr>
        <w:autoSpaceDE w:val="0"/>
        <w:autoSpaceDN w:val="0"/>
        <w:adjustRightInd w:val="0"/>
        <w:spacing w:after="0" w:line="360" w:lineRule="auto"/>
        <w:jc w:val="both"/>
        <w:rPr>
          <w:rFonts w:asciiTheme="majorBidi" w:hAnsiTheme="majorBidi" w:cs="Times New Roman"/>
          <w:sz w:val="24"/>
          <w:szCs w:val="24"/>
        </w:rPr>
      </w:pPr>
      <w:r w:rsidRPr="00301F23">
        <w:rPr>
          <w:rFonts w:asciiTheme="majorBidi" w:hAnsiTheme="majorBidi" w:cs="Times New Roman"/>
          <w:b/>
          <w:bCs/>
          <w:sz w:val="24"/>
          <w:szCs w:val="24"/>
        </w:rPr>
        <w:t>Valeurs usuelles : 60 - 80 g /l</w:t>
      </w:r>
    </w:p>
    <w:p w:rsidR="00DC664D" w:rsidRDefault="00DC664D" w:rsidP="00DC664D">
      <w:pPr>
        <w:autoSpaceDE w:val="0"/>
        <w:autoSpaceDN w:val="0"/>
        <w:adjustRightInd w:val="0"/>
        <w:spacing w:after="0" w:line="360" w:lineRule="auto"/>
        <w:jc w:val="both"/>
        <w:rPr>
          <w:rFonts w:asciiTheme="majorBidi" w:hAnsiTheme="majorBidi" w:cs="Times New Roman"/>
          <w:b/>
          <w:bCs/>
          <w:color w:val="7030A0"/>
          <w:sz w:val="24"/>
          <w:szCs w:val="24"/>
        </w:rPr>
      </w:pPr>
    </w:p>
    <w:p w:rsidR="00DC664D" w:rsidRPr="001874EC" w:rsidRDefault="00DC664D" w:rsidP="00DC664D">
      <w:pPr>
        <w:autoSpaceDE w:val="0"/>
        <w:autoSpaceDN w:val="0"/>
        <w:adjustRightInd w:val="0"/>
        <w:spacing w:after="0" w:line="360" w:lineRule="auto"/>
        <w:jc w:val="both"/>
        <w:rPr>
          <w:rFonts w:asciiTheme="majorBidi" w:hAnsiTheme="majorBidi" w:cs="Times New Roman"/>
          <w:b/>
          <w:bCs/>
          <w:color w:val="7030A0"/>
          <w:sz w:val="24"/>
          <w:szCs w:val="24"/>
        </w:rPr>
      </w:pPr>
      <w:r w:rsidRPr="001874EC">
        <w:rPr>
          <w:rFonts w:asciiTheme="majorBidi" w:hAnsiTheme="majorBidi" w:cs="Times New Roman"/>
          <w:b/>
          <w:bCs/>
          <w:color w:val="7030A0"/>
          <w:sz w:val="24"/>
          <w:szCs w:val="24"/>
        </w:rPr>
        <w:t>5.</w:t>
      </w:r>
      <w:r>
        <w:rPr>
          <w:rFonts w:asciiTheme="majorBidi" w:hAnsiTheme="majorBidi" w:cs="Times New Roman"/>
          <w:b/>
          <w:bCs/>
          <w:color w:val="7030A0"/>
          <w:sz w:val="24"/>
          <w:szCs w:val="24"/>
        </w:rPr>
        <w:t>1.</w:t>
      </w:r>
      <w:r w:rsidRPr="001874EC">
        <w:rPr>
          <w:rFonts w:asciiTheme="majorBidi" w:hAnsiTheme="majorBidi" w:cs="Times New Roman"/>
          <w:b/>
          <w:bCs/>
          <w:color w:val="7030A0"/>
          <w:sz w:val="24"/>
          <w:szCs w:val="24"/>
        </w:rPr>
        <w:t>5. Dosage de cholestérol</w:t>
      </w:r>
    </w:p>
    <w:p w:rsidR="00DC664D" w:rsidRPr="00B46E49" w:rsidRDefault="00DC664D" w:rsidP="00A21FB0">
      <w:pPr>
        <w:pStyle w:val="Paragraphedeliste"/>
        <w:numPr>
          <w:ilvl w:val="0"/>
          <w:numId w:val="33"/>
        </w:numPr>
        <w:autoSpaceDE w:val="0"/>
        <w:autoSpaceDN w:val="0"/>
        <w:adjustRightInd w:val="0"/>
        <w:spacing w:after="0" w:line="360" w:lineRule="auto"/>
        <w:jc w:val="both"/>
        <w:rPr>
          <w:rFonts w:ascii="Times New Roman" w:hAnsi="Times New Roman" w:cs="Times New Roman"/>
          <w:b/>
          <w:bCs/>
          <w:sz w:val="24"/>
          <w:szCs w:val="24"/>
          <w:lang w:eastAsia="fr-FR"/>
        </w:rPr>
      </w:pPr>
      <w:r w:rsidRPr="00B46E49">
        <w:rPr>
          <w:rFonts w:ascii="Times New Roman" w:hAnsi="Times New Roman" w:cs="Times New Roman"/>
          <w:b/>
          <w:bCs/>
          <w:sz w:val="24"/>
          <w:szCs w:val="24"/>
          <w:lang w:eastAsia="fr-FR"/>
        </w:rPr>
        <w:t xml:space="preserve">Principe </w:t>
      </w:r>
    </w:p>
    <w:p w:rsidR="00DC664D" w:rsidRPr="009619A3" w:rsidRDefault="00824C86" w:rsidP="004E2073">
      <w:pPr>
        <w:autoSpaceDE w:val="0"/>
        <w:autoSpaceDN w:val="0"/>
        <w:adjustRightInd w:val="0"/>
        <w:spacing w:after="0" w:line="360" w:lineRule="auto"/>
        <w:ind w:firstLine="360"/>
        <w:jc w:val="both"/>
        <w:rPr>
          <w:rFonts w:asciiTheme="majorBidi" w:hAnsiTheme="majorBidi" w:cs="Times New Roman"/>
          <w:sz w:val="24"/>
          <w:szCs w:val="24"/>
        </w:rPr>
      </w:pPr>
      <w:r w:rsidRPr="00824C86">
        <w:rPr>
          <w:noProof/>
          <w:lang w:eastAsia="fr-FR"/>
        </w:rPr>
        <w:pict>
          <v:rect id="Rectangle 35" o:spid="_x0000_s1038" style="position:absolute;left:0;text-align:left;margin-left:-10.2pt;margin-top:81.3pt;width:472.4pt;height:126.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" filled="f"/>
        </w:pict>
      </w:r>
      <w:r w:rsidR="00DC664D" w:rsidRPr="009619A3">
        <w:rPr>
          <w:rFonts w:asciiTheme="majorBidi" w:hAnsiTheme="majorBidi" w:cs="Times New Roman"/>
          <w:sz w:val="24"/>
          <w:szCs w:val="24"/>
        </w:rPr>
        <w:t>Le cholesterol est mesuré après hydrolyse enzymatiquepuis oxydation. L’indicateur quinoneimine est formé à partir du peroxyde d’hydrogène et de l’amino 4 antipyrines en présence de phenol et de peroxydase.</w:t>
      </w:r>
      <w:r w:rsidR="00DC664D" w:rsidRPr="009619A3">
        <w:rPr>
          <w:rFonts w:asciiTheme="majorBidi" w:hAnsiTheme="majorBidi" w:cs="Times New Roman"/>
          <w:sz w:val="24"/>
          <w:szCs w:val="24"/>
          <w:lang w:eastAsia="fr-FR"/>
        </w:rPr>
        <w:t xml:space="preserve">La détermination </w:t>
      </w:r>
      <w:r w:rsidR="00DC664D">
        <w:rPr>
          <w:rFonts w:asciiTheme="majorBidi" w:hAnsiTheme="majorBidi" w:cs="Times New Roman"/>
          <w:sz w:val="24"/>
          <w:szCs w:val="24"/>
          <w:lang w:eastAsia="fr-FR"/>
        </w:rPr>
        <w:t xml:space="preserve">par </w:t>
      </w:r>
      <w:r w:rsidR="00DC664D" w:rsidRPr="009619A3">
        <w:rPr>
          <w:rFonts w:asciiTheme="majorBidi" w:hAnsiTheme="majorBidi" w:cs="Times New Roman"/>
          <w:sz w:val="24"/>
          <w:szCs w:val="24"/>
          <w:lang w:eastAsia="fr-FR"/>
        </w:rPr>
        <w:t>méthode enzymatique se fait selon les réactions suivantes :</w:t>
      </w:r>
    </w:p>
    <w:p w:rsidR="00DC664D" w:rsidRDefault="00DC664D" w:rsidP="00DC664D">
      <w:pPr>
        <w:pStyle w:val="NormalWeb"/>
        <w:spacing w:before="0" w:beforeAutospacing="0" w:after="0" w:afterAutospacing="0"/>
        <w:rPr>
          <w:color w:val="000000"/>
          <w:kern w:val="24"/>
        </w:rPr>
      </w:pPr>
      <w:r>
        <w:rPr>
          <w:noProof/>
          <w:color w:val="000000"/>
          <w:kern w:val="24"/>
        </w:rPr>
        <w:drawing>
          <wp:inline distT="0" distB="0" distL="0" distR="0">
            <wp:extent cx="5869940" cy="1592580"/>
            <wp:effectExtent l="0" t="0" r="0" b="0"/>
            <wp:docPr id="3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9940" cy="1592580"/>
                    </a:xfrm>
                    <a:prstGeom prst="rect">
                      <a:avLst/>
                    </a:prstGeom>
                    <a:noFill/>
                    <a:ln>
                      <a:noFill/>
                    </a:ln>
                  </pic:spPr>
                </pic:pic>
              </a:graphicData>
            </a:graphic>
          </wp:inline>
        </w:drawing>
      </w:r>
    </w:p>
    <w:p w:rsidR="00DC664D" w:rsidRDefault="00DC664D" w:rsidP="00DC664D">
      <w:pPr>
        <w:autoSpaceDE w:val="0"/>
        <w:autoSpaceDN w:val="0"/>
        <w:adjustRightInd w:val="0"/>
        <w:spacing w:after="0" w:line="240" w:lineRule="auto"/>
        <w:rPr>
          <w:rFonts w:asciiTheme="majorBidi" w:hAnsiTheme="majorBidi" w:cs="Times New Roman"/>
          <w:sz w:val="24"/>
          <w:szCs w:val="24"/>
        </w:rPr>
      </w:pPr>
    </w:p>
    <w:p w:rsidR="00DC664D" w:rsidRDefault="00DC664D" w:rsidP="00DC664D">
      <w:pPr>
        <w:autoSpaceDE w:val="0"/>
        <w:autoSpaceDN w:val="0"/>
        <w:adjustRightInd w:val="0"/>
        <w:spacing w:after="0" w:line="240" w:lineRule="auto"/>
        <w:rPr>
          <w:rFonts w:ascii="Helvetica" w:hAnsi="Helvetica" w:cs="Helvetica"/>
          <w:sz w:val="20"/>
          <w:szCs w:val="20"/>
        </w:rPr>
      </w:pPr>
      <w:r w:rsidRPr="001127B9">
        <w:rPr>
          <w:rFonts w:asciiTheme="majorBidi" w:hAnsiTheme="majorBidi" w:cs="Times New Roman"/>
          <w:sz w:val="24"/>
          <w:szCs w:val="24"/>
        </w:rPr>
        <w:t xml:space="preserve">La quantité </w:t>
      </w:r>
      <w:r>
        <w:rPr>
          <w:rFonts w:asciiTheme="majorBidi" w:hAnsiTheme="majorBidi" w:cs="Times New Roman"/>
          <w:sz w:val="24"/>
          <w:szCs w:val="24"/>
        </w:rPr>
        <w:t>de quinoneimine formée est prop</w:t>
      </w:r>
      <w:r w:rsidRPr="001127B9">
        <w:rPr>
          <w:rFonts w:asciiTheme="majorBidi" w:hAnsiTheme="majorBidi" w:cs="Times New Roman"/>
          <w:sz w:val="24"/>
          <w:szCs w:val="24"/>
        </w:rPr>
        <w:t>o</w:t>
      </w:r>
      <w:r>
        <w:rPr>
          <w:rFonts w:asciiTheme="majorBidi" w:hAnsiTheme="majorBidi" w:cs="Times New Roman"/>
          <w:sz w:val="24"/>
          <w:szCs w:val="24"/>
        </w:rPr>
        <w:t>r</w:t>
      </w:r>
      <w:r w:rsidRPr="001127B9">
        <w:rPr>
          <w:rFonts w:asciiTheme="majorBidi" w:hAnsiTheme="majorBidi" w:cs="Times New Roman"/>
          <w:sz w:val="24"/>
          <w:szCs w:val="24"/>
        </w:rPr>
        <w:t>tionnelle à la concentration de cholestérol</w:t>
      </w:r>
      <w:r>
        <w:rPr>
          <w:rFonts w:ascii="Helvetica" w:hAnsi="Helvetica" w:cs="Helvetica"/>
          <w:sz w:val="20"/>
          <w:szCs w:val="20"/>
        </w:rPr>
        <w:t>.</w:t>
      </w:r>
    </w:p>
    <w:p w:rsidR="00DC664D" w:rsidRPr="00691619" w:rsidRDefault="00DC664D" w:rsidP="00DC664D">
      <w:pPr>
        <w:autoSpaceDE w:val="0"/>
        <w:autoSpaceDN w:val="0"/>
        <w:adjustRightInd w:val="0"/>
        <w:spacing w:after="0" w:line="240" w:lineRule="auto"/>
        <w:ind w:left="284"/>
        <w:rPr>
          <w:rFonts w:ascii="Helvetica" w:hAnsi="Helvetica" w:cs="Helvetica"/>
          <w:sz w:val="20"/>
          <w:szCs w:val="20"/>
        </w:rPr>
      </w:pPr>
    </w:p>
    <w:p w:rsidR="00DC664D" w:rsidRPr="00691619" w:rsidRDefault="00DC664D" w:rsidP="00A21FB0">
      <w:pPr>
        <w:pStyle w:val="Paragraphedeliste"/>
        <w:numPr>
          <w:ilvl w:val="0"/>
          <w:numId w:val="45"/>
        </w:numPr>
        <w:autoSpaceDE w:val="0"/>
        <w:autoSpaceDN w:val="0"/>
        <w:adjustRightInd w:val="0"/>
        <w:spacing w:after="0" w:line="240" w:lineRule="auto"/>
        <w:rPr>
          <w:rFonts w:ascii="Helvetica" w:hAnsi="Helvetica" w:cs="Helvetica"/>
          <w:sz w:val="20"/>
          <w:szCs w:val="20"/>
        </w:rPr>
      </w:pPr>
      <w:r w:rsidRPr="00691619">
        <w:rPr>
          <w:rFonts w:asciiTheme="majorBidi" w:hAnsiTheme="majorBidi" w:cs="Times New Roman"/>
          <w:b/>
          <w:bCs/>
          <w:sz w:val="24"/>
          <w:szCs w:val="24"/>
        </w:rPr>
        <w:t>Réactifs utilisés : Rél. 20111, (360 Tests)</w:t>
      </w:r>
    </w:p>
    <w:p w:rsidR="00DC664D" w:rsidRDefault="00DC664D" w:rsidP="00DC664D">
      <w:pPr>
        <w:autoSpaceDE w:val="0"/>
        <w:autoSpaceDN w:val="0"/>
        <w:adjustRightInd w:val="0"/>
        <w:spacing w:after="0" w:line="240" w:lineRule="auto"/>
        <w:rPr>
          <w:rFonts w:ascii="Helvetica" w:hAnsi="Helvetica" w:cs="Helvetica"/>
          <w:sz w:val="20"/>
          <w:szCs w:val="20"/>
        </w:rPr>
      </w:pPr>
    </w:p>
    <w:p w:rsidR="00DC664D" w:rsidRPr="00567C64" w:rsidRDefault="00DC664D" w:rsidP="00A21FB0">
      <w:pPr>
        <w:pStyle w:val="Paragraphedeliste"/>
        <w:numPr>
          <w:ilvl w:val="0"/>
          <w:numId w:val="43"/>
        </w:numPr>
        <w:autoSpaceDE w:val="0"/>
        <w:autoSpaceDN w:val="0"/>
        <w:adjustRightInd w:val="0"/>
        <w:spacing w:after="0" w:line="240" w:lineRule="auto"/>
        <w:jc w:val="both"/>
        <w:rPr>
          <w:rFonts w:asciiTheme="majorBidi" w:hAnsiTheme="majorBidi" w:cs="Times New Roman"/>
          <w:sz w:val="24"/>
          <w:szCs w:val="24"/>
        </w:rPr>
      </w:pPr>
      <w:r w:rsidRPr="00567C64">
        <w:rPr>
          <w:rFonts w:asciiTheme="majorBidi" w:hAnsiTheme="majorBidi" w:cs="Times New Roman"/>
          <w:b/>
          <w:bCs/>
          <w:sz w:val="24"/>
          <w:szCs w:val="24"/>
        </w:rPr>
        <w:t>Réactif 1 : (</w:t>
      </w:r>
      <w:r w:rsidRPr="00567C64">
        <w:rPr>
          <w:rFonts w:asciiTheme="majorBidi" w:hAnsiTheme="majorBidi" w:cs="Times New Roman"/>
          <w:sz w:val="24"/>
          <w:szCs w:val="24"/>
        </w:rPr>
        <w:t>Solution tampon)Pipes pH 6.9 90 mmol/l Phenol 26 mmol/l</w:t>
      </w:r>
    </w:p>
    <w:p w:rsidR="00DC664D" w:rsidRPr="00567C64" w:rsidRDefault="00DC664D" w:rsidP="00DC664D">
      <w:pPr>
        <w:autoSpaceDE w:val="0"/>
        <w:autoSpaceDN w:val="0"/>
        <w:adjustRightInd w:val="0"/>
        <w:spacing w:after="0" w:line="240" w:lineRule="auto"/>
        <w:jc w:val="both"/>
        <w:rPr>
          <w:rFonts w:asciiTheme="majorBidi" w:hAnsiTheme="majorBidi" w:cs="Times New Roman"/>
          <w:b/>
          <w:bCs/>
          <w:sz w:val="24"/>
          <w:szCs w:val="24"/>
        </w:rPr>
      </w:pPr>
    </w:p>
    <w:p w:rsidR="00DC664D" w:rsidRPr="00567C64" w:rsidRDefault="00DC664D" w:rsidP="00A21FB0">
      <w:pPr>
        <w:pStyle w:val="Paragraphedeliste"/>
        <w:numPr>
          <w:ilvl w:val="0"/>
          <w:numId w:val="43"/>
        </w:numPr>
        <w:autoSpaceDE w:val="0"/>
        <w:autoSpaceDN w:val="0"/>
        <w:adjustRightInd w:val="0"/>
        <w:spacing w:after="0" w:line="240" w:lineRule="auto"/>
        <w:jc w:val="both"/>
        <w:rPr>
          <w:rFonts w:asciiTheme="majorBidi" w:hAnsiTheme="majorBidi" w:cs="Times New Roman"/>
          <w:b/>
          <w:bCs/>
          <w:sz w:val="24"/>
          <w:szCs w:val="24"/>
        </w:rPr>
      </w:pPr>
      <w:r w:rsidRPr="00567C64">
        <w:rPr>
          <w:rFonts w:asciiTheme="majorBidi" w:hAnsiTheme="majorBidi" w:cs="Times New Roman"/>
          <w:b/>
          <w:bCs/>
          <w:sz w:val="24"/>
          <w:szCs w:val="24"/>
        </w:rPr>
        <w:t xml:space="preserve">Réactif 2 : </w:t>
      </w:r>
      <w:r w:rsidRPr="00567C64">
        <w:rPr>
          <w:rFonts w:asciiTheme="majorBidi" w:hAnsiTheme="majorBidi" w:cs="Times New Roman"/>
          <w:sz w:val="24"/>
          <w:szCs w:val="24"/>
        </w:rPr>
        <w:t>Cholesterol oxydase (300 U/l) Peroxydase (1250 U/l) Cholesterolesterase (300 U/l) Amino-4-antipyrine(0.4 mmol/l)</w:t>
      </w:r>
    </w:p>
    <w:p w:rsidR="00DC664D" w:rsidRPr="00F32A9E" w:rsidRDefault="00DC664D" w:rsidP="00DC664D">
      <w:pPr>
        <w:spacing w:before="100" w:beforeAutospacing="1" w:after="100" w:afterAutospacing="1" w:line="240" w:lineRule="auto"/>
        <w:rPr>
          <w:rFonts w:asciiTheme="majorBidi" w:hAnsiTheme="majorBidi" w:cs="Times New Roman"/>
          <w:sz w:val="24"/>
          <w:szCs w:val="24"/>
          <w:lang w:eastAsia="fr-FR"/>
        </w:rPr>
      </w:pPr>
      <w:r w:rsidRPr="00B46E49">
        <w:rPr>
          <w:rFonts w:asciiTheme="majorBidi" w:hAnsiTheme="majorBidi" w:cs="Times New Roman"/>
          <w:sz w:val="24"/>
          <w:szCs w:val="24"/>
          <w:lang w:eastAsia="fr-FR"/>
        </w:rPr>
        <w:t xml:space="preserve">Le </w:t>
      </w:r>
      <w:r>
        <w:rPr>
          <w:rFonts w:asciiTheme="majorBidi" w:hAnsiTheme="majorBidi" w:cs="Times New Roman"/>
          <w:sz w:val="24"/>
          <w:szCs w:val="24"/>
          <w:lang w:eastAsia="fr-FR"/>
        </w:rPr>
        <w:t>c</w:t>
      </w:r>
      <w:r w:rsidRPr="00B46E49">
        <w:rPr>
          <w:rFonts w:asciiTheme="majorBidi" w:hAnsiTheme="majorBidi" w:cs="Times New Roman"/>
          <w:sz w:val="24"/>
          <w:szCs w:val="24"/>
          <w:lang w:eastAsia="fr-FR"/>
        </w:rPr>
        <w:t>alcul se fait selon la formule</w:t>
      </w:r>
      <w:r w:rsidRPr="00F32A9E">
        <w:rPr>
          <w:rFonts w:asciiTheme="majorBidi" w:hAnsiTheme="majorBidi" w:cs="Times New Roman"/>
          <w:b/>
          <w:bCs/>
          <w:sz w:val="24"/>
          <w:szCs w:val="24"/>
          <w:lang w:eastAsia="fr-FR"/>
        </w:rPr>
        <w:t> : cholestérol (g/l)</w:t>
      </w:r>
      <w:r w:rsidRPr="00F32A9E">
        <w:rPr>
          <w:rFonts w:asciiTheme="majorBidi" w:hAnsiTheme="majorBidi" w:cs="Times New Roman"/>
          <w:sz w:val="24"/>
          <w:szCs w:val="24"/>
          <w:lang w:eastAsia="fr-FR"/>
        </w:rPr>
        <w:t>= (</w:t>
      </w:r>
      <w:r>
        <w:rPr>
          <w:rFonts w:asciiTheme="majorBidi" w:hAnsiTheme="majorBidi" w:cs="Times New Roman"/>
          <w:sz w:val="24"/>
          <w:szCs w:val="24"/>
          <w:lang w:eastAsia="fr-FR"/>
        </w:rPr>
        <w:t>DO échantillon  / DO étalon) * N</w:t>
      </w:r>
    </w:p>
    <w:p w:rsidR="00DC664D" w:rsidRPr="00F32A9E" w:rsidRDefault="00DC664D" w:rsidP="00DC664D">
      <w:pPr>
        <w:spacing w:before="100" w:beforeAutospacing="1" w:after="100" w:afterAutospacing="1" w:line="240" w:lineRule="auto"/>
        <w:rPr>
          <w:rFonts w:asciiTheme="majorBidi" w:hAnsiTheme="majorBidi" w:cs="Times New Roman"/>
          <w:sz w:val="24"/>
          <w:szCs w:val="24"/>
          <w:lang w:eastAsia="fr-FR"/>
        </w:rPr>
      </w:pPr>
      <w:r w:rsidRPr="00F32A9E">
        <w:rPr>
          <w:rFonts w:asciiTheme="majorBidi" w:hAnsiTheme="majorBidi" w:cs="Times New Roman"/>
          <w:sz w:val="24"/>
          <w:szCs w:val="24"/>
          <w:lang w:eastAsia="fr-FR"/>
        </w:rPr>
        <w:t>N= concentration de l’étalon cholestérol en g/l.</w:t>
      </w:r>
    </w:p>
    <w:p w:rsidR="00DC664D" w:rsidRPr="009D3642" w:rsidRDefault="00DC664D" w:rsidP="00A21FB0">
      <w:pPr>
        <w:pStyle w:val="Paragraphedeliste"/>
        <w:numPr>
          <w:ilvl w:val="0"/>
          <w:numId w:val="34"/>
        </w:numPr>
        <w:spacing w:before="100" w:beforeAutospacing="1" w:after="100" w:afterAutospacing="1" w:line="240" w:lineRule="auto"/>
        <w:rPr>
          <w:rFonts w:ascii="Times New Roman" w:hAnsi="Times New Roman" w:cs="Times New Roman"/>
          <w:sz w:val="24"/>
          <w:szCs w:val="24"/>
          <w:lang w:eastAsia="fr-FR"/>
        </w:rPr>
      </w:pPr>
      <w:r w:rsidRPr="00B46E49">
        <w:rPr>
          <w:rFonts w:ascii="Times New Roman" w:hAnsi="Times New Roman" w:cs="Times New Roman"/>
          <w:b/>
          <w:bCs/>
          <w:sz w:val="24"/>
          <w:szCs w:val="24"/>
        </w:rPr>
        <w:t>Valeurs usuelles : 1.5– 2.5g/l</w:t>
      </w:r>
    </w:p>
    <w:p w:rsidR="00DC664D" w:rsidRPr="001874EC" w:rsidRDefault="00DC664D" w:rsidP="00DC664D">
      <w:pPr>
        <w:autoSpaceDE w:val="0"/>
        <w:autoSpaceDN w:val="0"/>
        <w:adjustRightInd w:val="0"/>
        <w:spacing w:after="0" w:line="360" w:lineRule="auto"/>
        <w:jc w:val="both"/>
        <w:rPr>
          <w:rFonts w:ascii="Times New Roman" w:hAnsi="Times New Roman" w:cs="Times New Roman"/>
          <w:b/>
          <w:bCs/>
          <w:color w:val="7030A0"/>
          <w:sz w:val="24"/>
          <w:szCs w:val="24"/>
        </w:rPr>
      </w:pPr>
      <w:r w:rsidRPr="001874EC">
        <w:rPr>
          <w:rFonts w:ascii="Times New Roman" w:hAnsi="Times New Roman" w:cs="Times New Roman"/>
          <w:b/>
          <w:bCs/>
          <w:color w:val="7030A0"/>
          <w:sz w:val="24"/>
          <w:szCs w:val="24"/>
        </w:rPr>
        <w:lastRenderedPageBreak/>
        <w:t>5.</w:t>
      </w:r>
      <w:r>
        <w:rPr>
          <w:rFonts w:ascii="Times New Roman" w:hAnsi="Times New Roman" w:cs="Times New Roman"/>
          <w:b/>
          <w:bCs/>
          <w:color w:val="7030A0"/>
          <w:sz w:val="24"/>
          <w:szCs w:val="24"/>
        </w:rPr>
        <w:t>1.6</w:t>
      </w:r>
      <w:r w:rsidRPr="001874EC">
        <w:rPr>
          <w:rFonts w:ascii="Times New Roman" w:hAnsi="Times New Roman" w:cs="Times New Roman"/>
          <w:b/>
          <w:bCs/>
          <w:color w:val="7030A0"/>
          <w:sz w:val="24"/>
          <w:szCs w:val="24"/>
        </w:rPr>
        <w:t>. Dosage d’HDL cholestérol</w:t>
      </w:r>
      <w:r>
        <w:rPr>
          <w:rFonts w:ascii="Times New Roman" w:hAnsi="Times New Roman" w:cs="Times New Roman"/>
          <w:b/>
          <w:bCs/>
          <w:color w:val="7030A0"/>
          <w:sz w:val="24"/>
          <w:szCs w:val="24"/>
        </w:rPr>
        <w:t xml:space="preserve"> et calcul de LDL</w:t>
      </w:r>
    </w:p>
    <w:p w:rsidR="00DC664D" w:rsidRPr="00B46E49" w:rsidRDefault="00DC664D" w:rsidP="00A21FB0">
      <w:pPr>
        <w:pStyle w:val="Paragraphedeliste"/>
        <w:numPr>
          <w:ilvl w:val="0"/>
          <w:numId w:val="35"/>
        </w:numPr>
        <w:autoSpaceDE w:val="0"/>
        <w:autoSpaceDN w:val="0"/>
        <w:adjustRightInd w:val="0"/>
        <w:spacing w:after="0" w:line="360" w:lineRule="auto"/>
        <w:jc w:val="both"/>
        <w:rPr>
          <w:rFonts w:asciiTheme="majorBidi" w:hAnsiTheme="majorBidi" w:cs="Times New Roman"/>
          <w:b/>
          <w:bCs/>
          <w:sz w:val="24"/>
          <w:szCs w:val="24"/>
        </w:rPr>
      </w:pPr>
      <w:r w:rsidRPr="00B46E49">
        <w:rPr>
          <w:rFonts w:asciiTheme="majorBidi" w:hAnsiTheme="majorBidi" w:cs="Times New Roman"/>
          <w:b/>
          <w:bCs/>
          <w:sz w:val="24"/>
          <w:szCs w:val="24"/>
        </w:rPr>
        <w:t xml:space="preserve">Principe </w:t>
      </w:r>
    </w:p>
    <w:p w:rsidR="00DC664D" w:rsidRDefault="00DC664D" w:rsidP="004E2073">
      <w:pPr>
        <w:autoSpaceDE w:val="0"/>
        <w:autoSpaceDN w:val="0"/>
        <w:adjustRightInd w:val="0"/>
        <w:spacing w:after="0" w:line="360" w:lineRule="auto"/>
        <w:ind w:firstLine="360"/>
        <w:jc w:val="both"/>
        <w:rPr>
          <w:rFonts w:asciiTheme="majorBidi" w:hAnsiTheme="majorBidi" w:cs="Times New Roman"/>
          <w:sz w:val="24"/>
          <w:szCs w:val="24"/>
        </w:rPr>
      </w:pPr>
      <w:r w:rsidRPr="00F232FC">
        <w:rPr>
          <w:rFonts w:asciiTheme="majorBidi" w:hAnsiTheme="majorBidi" w:cs="Times New Roman"/>
          <w:sz w:val="24"/>
          <w:szCs w:val="24"/>
        </w:rPr>
        <w:t>Les chylomicrons et les lipoprotéines de très faible densité (VLDL) et de faible densité (LDL) contenus dans l’échantillon sont précipités par addition d’acide phosp</w:t>
      </w:r>
      <w:r>
        <w:rPr>
          <w:rFonts w:asciiTheme="majorBidi" w:hAnsiTheme="majorBidi" w:cs="Times New Roman"/>
          <w:sz w:val="24"/>
          <w:szCs w:val="24"/>
        </w:rPr>
        <w:t xml:space="preserve">hotungstique en présence d’ions </w:t>
      </w:r>
      <w:r w:rsidRPr="00F232FC">
        <w:rPr>
          <w:rFonts w:asciiTheme="majorBidi" w:hAnsiTheme="majorBidi" w:cs="Times New Roman"/>
          <w:sz w:val="24"/>
          <w:szCs w:val="24"/>
        </w:rPr>
        <w:t>magnésium.Le surnagent obtenu après centrifugation contient les lipoprotéines de haute densité (HDL) dont le cholestérol est dosé par le réactif cholestérol enzymatique.</w:t>
      </w:r>
    </w:p>
    <w:p w:rsidR="00DC664D" w:rsidRDefault="00DC664D" w:rsidP="00DC664D">
      <w:pPr>
        <w:autoSpaceDE w:val="0"/>
        <w:autoSpaceDN w:val="0"/>
        <w:adjustRightInd w:val="0"/>
        <w:spacing w:after="0" w:line="360" w:lineRule="auto"/>
        <w:jc w:val="both"/>
        <w:rPr>
          <w:rFonts w:asciiTheme="majorBidi" w:hAnsiTheme="majorBidi" w:cs="Times New Roman"/>
          <w:sz w:val="24"/>
          <w:szCs w:val="24"/>
        </w:rPr>
      </w:pPr>
    </w:p>
    <w:p w:rsidR="00DC664D" w:rsidRPr="00B46E49" w:rsidRDefault="00DC664D" w:rsidP="00A21FB0">
      <w:pPr>
        <w:pStyle w:val="Paragraphedeliste"/>
        <w:numPr>
          <w:ilvl w:val="0"/>
          <w:numId w:val="37"/>
        </w:numPr>
        <w:autoSpaceDE w:val="0"/>
        <w:autoSpaceDN w:val="0"/>
        <w:adjustRightInd w:val="0"/>
        <w:spacing w:after="0" w:line="360" w:lineRule="auto"/>
        <w:jc w:val="both"/>
        <w:rPr>
          <w:rFonts w:asciiTheme="majorBidi" w:hAnsiTheme="majorBidi" w:cs="Times New Roman"/>
          <w:b/>
          <w:bCs/>
          <w:sz w:val="24"/>
          <w:szCs w:val="24"/>
        </w:rPr>
      </w:pPr>
      <w:r w:rsidRPr="00B46E49">
        <w:rPr>
          <w:rFonts w:asciiTheme="majorBidi" w:hAnsiTheme="majorBidi" w:cs="Times New Roman"/>
          <w:b/>
          <w:bCs/>
          <w:sz w:val="24"/>
          <w:szCs w:val="24"/>
        </w:rPr>
        <w:t>Réactif utilisée : Réf. 20113, Kit pour 500 Tests, 5 x 5 ml</w:t>
      </w:r>
    </w:p>
    <w:p w:rsidR="00DC664D" w:rsidRPr="00B46E49" w:rsidRDefault="00DC664D" w:rsidP="00DC664D">
      <w:pPr>
        <w:autoSpaceDE w:val="0"/>
        <w:autoSpaceDN w:val="0"/>
        <w:adjustRightInd w:val="0"/>
        <w:spacing w:after="0" w:line="360" w:lineRule="auto"/>
        <w:jc w:val="both"/>
        <w:rPr>
          <w:rFonts w:asciiTheme="majorBidi" w:hAnsiTheme="majorBidi" w:cs="Times New Roman"/>
          <w:sz w:val="24"/>
          <w:szCs w:val="24"/>
        </w:rPr>
      </w:pPr>
      <w:r w:rsidRPr="00B46E49">
        <w:rPr>
          <w:rFonts w:asciiTheme="majorBidi" w:hAnsiTheme="majorBidi" w:cs="Times New Roman"/>
          <w:sz w:val="24"/>
          <w:szCs w:val="24"/>
        </w:rPr>
        <w:t>Acide phosphotungstique(13,9 mmol/l), MgCl2 6H2O (490mmol/l) pH 6,2.</w:t>
      </w:r>
    </w:p>
    <w:p w:rsidR="00DC664D" w:rsidRDefault="00DC664D" w:rsidP="00DC664D">
      <w:pPr>
        <w:autoSpaceDE w:val="0"/>
        <w:autoSpaceDN w:val="0"/>
        <w:adjustRightInd w:val="0"/>
        <w:spacing w:after="0" w:line="360" w:lineRule="auto"/>
        <w:jc w:val="both"/>
        <w:rPr>
          <w:rFonts w:ascii="Times New Roman" w:hAnsi="Times New Roman" w:cs="Times New Roman"/>
          <w:b/>
          <w:bCs/>
          <w:sz w:val="24"/>
          <w:szCs w:val="24"/>
        </w:rPr>
      </w:pPr>
    </w:p>
    <w:p w:rsidR="00DC664D" w:rsidRDefault="00DC664D" w:rsidP="00DC664D">
      <w:pPr>
        <w:autoSpaceDE w:val="0"/>
        <w:autoSpaceDN w:val="0"/>
        <w:adjustRightInd w:val="0"/>
        <w:spacing w:after="0" w:line="360" w:lineRule="auto"/>
        <w:jc w:val="both"/>
        <w:rPr>
          <w:rFonts w:ascii="Times New Roman" w:hAnsi="Times New Roman" w:cs="Times New Roman"/>
          <w:b/>
          <w:bCs/>
          <w:sz w:val="24"/>
          <w:szCs w:val="24"/>
        </w:rPr>
      </w:pPr>
    </w:p>
    <w:p w:rsidR="00DC664D" w:rsidRPr="00B46E49" w:rsidRDefault="00DC664D" w:rsidP="00A21FB0">
      <w:pPr>
        <w:pStyle w:val="Paragraphedeliste"/>
        <w:numPr>
          <w:ilvl w:val="0"/>
          <w:numId w:val="36"/>
        </w:numPr>
        <w:autoSpaceDE w:val="0"/>
        <w:autoSpaceDN w:val="0"/>
        <w:adjustRightInd w:val="0"/>
        <w:spacing w:after="0" w:line="360" w:lineRule="auto"/>
        <w:jc w:val="both"/>
        <w:rPr>
          <w:rFonts w:ascii="Times New Roman" w:hAnsi="Times New Roman" w:cs="Times New Roman"/>
          <w:b/>
          <w:bCs/>
          <w:sz w:val="24"/>
          <w:szCs w:val="24"/>
        </w:rPr>
      </w:pPr>
      <w:r w:rsidRPr="00B46E49">
        <w:rPr>
          <w:rFonts w:ascii="Times New Roman" w:hAnsi="Times New Roman" w:cs="Times New Roman"/>
          <w:b/>
          <w:bCs/>
          <w:sz w:val="24"/>
          <w:szCs w:val="24"/>
        </w:rPr>
        <w:t xml:space="preserve">Mode opératoire </w:t>
      </w:r>
    </w:p>
    <w:p w:rsidR="00DC664D" w:rsidRDefault="00DC664D" w:rsidP="004E2073">
      <w:pPr>
        <w:autoSpaceDE w:val="0"/>
        <w:autoSpaceDN w:val="0"/>
        <w:adjustRightInd w:val="0"/>
        <w:spacing w:after="0" w:line="360" w:lineRule="auto"/>
        <w:ind w:firstLine="360"/>
        <w:jc w:val="both"/>
        <w:rPr>
          <w:rFonts w:ascii="Times New Roman" w:hAnsi="Times New Roman" w:cs="Times New Roman"/>
          <w:color w:val="000000"/>
          <w:sz w:val="24"/>
          <w:szCs w:val="24"/>
        </w:rPr>
      </w:pPr>
      <w:r w:rsidRPr="00551628">
        <w:rPr>
          <w:rFonts w:ascii="Times New Roman" w:hAnsi="Times New Roman" w:cs="Times New Roman"/>
          <w:color w:val="000000"/>
          <w:sz w:val="24"/>
          <w:szCs w:val="24"/>
        </w:rPr>
        <w:t>Pour</w:t>
      </w:r>
      <w:r>
        <w:rPr>
          <w:rFonts w:ascii="Times New Roman" w:hAnsi="Times New Roman" w:cs="Times New Roman"/>
          <w:color w:val="000000"/>
          <w:sz w:val="24"/>
          <w:szCs w:val="24"/>
        </w:rPr>
        <w:t xml:space="preserve"> l’HDL</w:t>
      </w:r>
      <w:r w:rsidRPr="00551628">
        <w:rPr>
          <w:rFonts w:ascii="Times New Roman" w:hAnsi="Times New Roman" w:cs="Times New Roman"/>
          <w:color w:val="000000"/>
          <w:sz w:val="24"/>
          <w:szCs w:val="24"/>
        </w:rPr>
        <w:t>, 1</w:t>
      </w:r>
      <w:r>
        <w:rPr>
          <w:rFonts w:ascii="Times New Roman" w:hAnsi="Times New Roman" w:cs="Times New Roman"/>
          <w:color w:val="000000"/>
          <w:sz w:val="24"/>
          <w:szCs w:val="24"/>
        </w:rPr>
        <w:t>000</w:t>
      </w:r>
      <w:r w:rsidRPr="00551628">
        <w:rPr>
          <w:rFonts w:ascii="Times New Roman" w:hAnsi="Times New Roman" w:cs="Times New Roman"/>
          <w:color w:val="000000"/>
          <w:sz w:val="24"/>
          <w:szCs w:val="24"/>
        </w:rPr>
        <w:t>μl</w:t>
      </w:r>
      <w:r>
        <w:rPr>
          <w:rFonts w:ascii="Times New Roman" w:hAnsi="Times New Roman" w:cs="Times New Roman"/>
          <w:color w:val="000000"/>
          <w:sz w:val="24"/>
          <w:szCs w:val="24"/>
        </w:rPr>
        <w:t xml:space="preserve"> du réactif e</w:t>
      </w:r>
      <w:r w:rsidRPr="00551628">
        <w:rPr>
          <w:rFonts w:ascii="Times New Roman" w:hAnsi="Times New Roman" w:cs="Times New Roman"/>
          <w:color w:val="000000"/>
          <w:sz w:val="24"/>
          <w:szCs w:val="24"/>
        </w:rPr>
        <w:t>s</w:t>
      </w:r>
      <w:r>
        <w:rPr>
          <w:rFonts w:ascii="Times New Roman" w:hAnsi="Times New Roman" w:cs="Times New Roman"/>
          <w:color w:val="000000"/>
          <w:sz w:val="24"/>
          <w:szCs w:val="24"/>
        </w:rPr>
        <w:t>t rajouté</w:t>
      </w:r>
      <w:r w:rsidRPr="00551628">
        <w:rPr>
          <w:rFonts w:ascii="Times New Roman" w:hAnsi="Times New Roman" w:cs="Times New Roman"/>
          <w:color w:val="000000"/>
          <w:sz w:val="24"/>
          <w:szCs w:val="24"/>
        </w:rPr>
        <w:t xml:space="preserve"> au </w:t>
      </w:r>
      <w:r>
        <w:rPr>
          <w:rFonts w:ascii="Times New Roman" w:hAnsi="Times New Roman" w:cs="Times New Roman"/>
          <w:color w:val="000000"/>
          <w:sz w:val="24"/>
          <w:szCs w:val="24"/>
        </w:rPr>
        <w:t>100μl du sérum  et centrifugé à 5000t /min pendant 20min</w:t>
      </w:r>
      <w:r w:rsidRPr="00551628">
        <w:rPr>
          <w:rFonts w:ascii="Times New Roman" w:hAnsi="Times New Roman" w:cs="Times New Roman"/>
          <w:color w:val="000000"/>
          <w:sz w:val="24"/>
          <w:szCs w:val="24"/>
        </w:rPr>
        <w:t>,</w:t>
      </w:r>
      <w:r>
        <w:rPr>
          <w:rFonts w:ascii="Times New Roman" w:hAnsi="Times New Roman" w:cs="Times New Roman"/>
          <w:color w:val="000000"/>
          <w:sz w:val="24"/>
          <w:szCs w:val="24"/>
        </w:rPr>
        <w:t xml:space="preserve"> et ensuite les tubes </w:t>
      </w:r>
      <w:r w:rsidRPr="00551628">
        <w:rPr>
          <w:rFonts w:ascii="Times New Roman" w:hAnsi="Times New Roman" w:cs="Times New Roman"/>
          <w:color w:val="000000"/>
          <w:sz w:val="24"/>
          <w:szCs w:val="24"/>
        </w:rPr>
        <w:t>est m</w:t>
      </w:r>
      <w:r>
        <w:rPr>
          <w:rFonts w:ascii="Times New Roman" w:hAnsi="Times New Roman" w:cs="Times New Roman"/>
          <w:color w:val="000000"/>
          <w:sz w:val="24"/>
          <w:szCs w:val="24"/>
        </w:rPr>
        <w:t xml:space="preserve">is </w:t>
      </w:r>
      <w:r w:rsidRPr="00551628">
        <w:rPr>
          <w:rFonts w:ascii="Times New Roman" w:hAnsi="Times New Roman" w:cs="Times New Roman"/>
          <w:color w:val="000000"/>
          <w:sz w:val="24"/>
          <w:szCs w:val="24"/>
        </w:rPr>
        <w:t xml:space="preserve">dans </w:t>
      </w:r>
      <w:r>
        <w:rPr>
          <w:rFonts w:ascii="Times New Roman" w:hAnsi="Times New Roman" w:cs="Times New Roman"/>
          <w:color w:val="000000"/>
          <w:sz w:val="24"/>
          <w:szCs w:val="24"/>
        </w:rPr>
        <w:t>l’automate.</w:t>
      </w:r>
    </w:p>
    <w:p w:rsidR="00DC664D" w:rsidRPr="00860D44" w:rsidRDefault="00DC664D" w:rsidP="00DC664D">
      <w:pPr>
        <w:autoSpaceDE w:val="0"/>
        <w:autoSpaceDN w:val="0"/>
        <w:adjustRightInd w:val="0"/>
        <w:spacing w:after="0" w:line="360" w:lineRule="auto"/>
        <w:jc w:val="both"/>
        <w:rPr>
          <w:rFonts w:asciiTheme="majorBidi" w:hAnsiTheme="majorBidi" w:cs="Times New Roman"/>
          <w:sz w:val="24"/>
          <w:szCs w:val="24"/>
        </w:rPr>
      </w:pPr>
      <w:r w:rsidRPr="00860D44">
        <w:rPr>
          <w:rFonts w:asciiTheme="majorBidi" w:hAnsiTheme="majorBidi" w:cs="Times New Roman"/>
          <w:sz w:val="24"/>
          <w:szCs w:val="24"/>
        </w:rPr>
        <w:t xml:space="preserve">Le LDL a été calculé à l’aide de la formule suivante : </w:t>
      </w:r>
    </w:p>
    <w:p w:rsidR="00DC664D" w:rsidRPr="00860D44" w:rsidRDefault="00DC664D" w:rsidP="00DC664D">
      <w:pPr>
        <w:autoSpaceDE w:val="0"/>
        <w:autoSpaceDN w:val="0"/>
        <w:adjustRightInd w:val="0"/>
        <w:spacing w:after="0" w:line="360" w:lineRule="auto"/>
        <w:jc w:val="both"/>
        <w:rPr>
          <w:rFonts w:asciiTheme="majorBidi" w:hAnsiTheme="majorBidi" w:cs="Times New Roman"/>
          <w:b/>
          <w:bCs/>
          <w:sz w:val="28"/>
          <w:szCs w:val="28"/>
        </w:rPr>
      </w:pPr>
      <w:r w:rsidRPr="00860D44">
        <w:rPr>
          <w:rFonts w:asciiTheme="majorBidi" w:hAnsiTheme="majorBidi" w:cs="Times New Roman"/>
          <w:sz w:val="24"/>
          <w:szCs w:val="24"/>
        </w:rPr>
        <w:t> </w:t>
      </w:r>
      <w:r w:rsidRPr="00860D44">
        <w:rPr>
          <w:rFonts w:asciiTheme="majorBidi" w:hAnsiTheme="majorBidi" w:cs="Times New Roman"/>
          <w:b/>
          <w:bCs/>
          <w:sz w:val="28"/>
          <w:szCs w:val="28"/>
        </w:rPr>
        <w:t>Cholestérol LDL = cholestérol T – (cholestérol HDL + TG/5).</w:t>
      </w:r>
    </w:p>
    <w:p w:rsidR="00DC664D" w:rsidRPr="00860D44" w:rsidRDefault="00DC664D" w:rsidP="00DC664D">
      <w:pPr>
        <w:autoSpaceDE w:val="0"/>
        <w:autoSpaceDN w:val="0"/>
        <w:adjustRightInd w:val="0"/>
        <w:spacing w:after="0" w:line="360" w:lineRule="auto"/>
        <w:jc w:val="both"/>
        <w:rPr>
          <w:rFonts w:asciiTheme="majorBidi" w:hAnsiTheme="majorBidi" w:cs="Times New Roman"/>
          <w:b/>
          <w:bCs/>
          <w:sz w:val="28"/>
          <w:szCs w:val="28"/>
        </w:rPr>
      </w:pPr>
      <w:r w:rsidRPr="00860D44">
        <w:rPr>
          <w:rFonts w:ascii="Times New Roman" w:hAnsi="Times New Roman" w:cs="Times New Roman"/>
          <w:b/>
          <w:bCs/>
          <w:sz w:val="24"/>
          <w:szCs w:val="24"/>
        </w:rPr>
        <w:t xml:space="preserve">Valeurs usuelles : HDL &gt; 0 ,5 g/l </w:t>
      </w:r>
    </w:p>
    <w:p w:rsidR="00DC664D" w:rsidRPr="00860D44" w:rsidRDefault="00DC664D" w:rsidP="00DC664D">
      <w:pPr>
        <w:pStyle w:val="Paragraphedeliste"/>
        <w:autoSpaceDE w:val="0"/>
        <w:autoSpaceDN w:val="0"/>
        <w:adjustRightInd w:val="0"/>
        <w:spacing w:after="0" w:line="360" w:lineRule="auto"/>
        <w:jc w:val="both"/>
        <w:rPr>
          <w:rFonts w:asciiTheme="majorBidi" w:hAnsiTheme="majorBidi" w:cs="Times New Roman"/>
          <w:b/>
          <w:bCs/>
          <w:sz w:val="28"/>
          <w:szCs w:val="28"/>
        </w:rPr>
      </w:pPr>
      <w:r w:rsidRPr="00B46E49">
        <w:rPr>
          <w:rFonts w:ascii="Times New Roman" w:hAnsi="Times New Roman" w:cs="Times New Roman"/>
          <w:b/>
          <w:bCs/>
          <w:sz w:val="24"/>
          <w:szCs w:val="24"/>
        </w:rPr>
        <w:t>LDL &lt; 1,5 g/l</w:t>
      </w:r>
    </w:p>
    <w:p w:rsidR="00DC664D" w:rsidRPr="009D3642" w:rsidRDefault="00DC664D" w:rsidP="00DC664D">
      <w:pPr>
        <w:spacing w:before="100" w:beforeAutospacing="1" w:after="100" w:afterAutospacing="1" w:line="240" w:lineRule="auto"/>
        <w:ind w:left="360"/>
        <w:rPr>
          <w:rFonts w:ascii="Times New Roman" w:hAnsi="Times New Roman" w:cs="Times New Roman"/>
          <w:sz w:val="24"/>
          <w:szCs w:val="24"/>
          <w:lang w:eastAsia="fr-FR"/>
        </w:rPr>
      </w:pPr>
    </w:p>
    <w:p w:rsidR="00DC664D" w:rsidRPr="008B1343" w:rsidRDefault="00DC664D" w:rsidP="00DC664D">
      <w:pPr>
        <w:autoSpaceDE w:val="0"/>
        <w:autoSpaceDN w:val="0"/>
        <w:adjustRightInd w:val="0"/>
        <w:spacing w:after="0" w:line="360" w:lineRule="auto"/>
        <w:jc w:val="both"/>
        <w:rPr>
          <w:rFonts w:ascii="Times New Roman" w:hAnsi="Times New Roman" w:cs="Times New Roman"/>
          <w:b/>
          <w:bCs/>
          <w:color w:val="7030A0"/>
          <w:sz w:val="24"/>
          <w:szCs w:val="24"/>
        </w:rPr>
      </w:pPr>
      <w:r w:rsidRPr="008B1343">
        <w:rPr>
          <w:rFonts w:ascii="Times New Roman" w:hAnsi="Times New Roman" w:cs="Times New Roman"/>
          <w:b/>
          <w:bCs/>
          <w:color w:val="7030A0"/>
          <w:sz w:val="24"/>
          <w:szCs w:val="24"/>
        </w:rPr>
        <w:t>5.</w:t>
      </w:r>
      <w:r>
        <w:rPr>
          <w:rFonts w:ascii="Times New Roman" w:hAnsi="Times New Roman" w:cs="Times New Roman"/>
          <w:b/>
          <w:bCs/>
          <w:color w:val="7030A0"/>
          <w:sz w:val="24"/>
          <w:szCs w:val="24"/>
        </w:rPr>
        <w:t>1.7</w:t>
      </w:r>
      <w:r w:rsidRPr="008B1343">
        <w:rPr>
          <w:rFonts w:ascii="Times New Roman" w:hAnsi="Times New Roman" w:cs="Times New Roman"/>
          <w:b/>
          <w:bCs/>
          <w:color w:val="7030A0"/>
          <w:sz w:val="24"/>
          <w:szCs w:val="24"/>
        </w:rPr>
        <w:t xml:space="preserve">. Dosage de triglycéride </w:t>
      </w:r>
    </w:p>
    <w:p w:rsidR="00DC664D" w:rsidRPr="00B46E49" w:rsidRDefault="00DC664D" w:rsidP="00A21FB0">
      <w:pPr>
        <w:pStyle w:val="Paragraphedeliste"/>
        <w:numPr>
          <w:ilvl w:val="0"/>
          <w:numId w:val="38"/>
        </w:numPr>
        <w:autoSpaceDE w:val="0"/>
        <w:autoSpaceDN w:val="0"/>
        <w:adjustRightInd w:val="0"/>
        <w:spacing w:after="0" w:line="360" w:lineRule="auto"/>
        <w:jc w:val="both"/>
        <w:rPr>
          <w:rFonts w:asciiTheme="majorBidi" w:hAnsiTheme="majorBidi" w:cs="Times New Roman"/>
          <w:b/>
          <w:bCs/>
          <w:sz w:val="24"/>
          <w:szCs w:val="24"/>
        </w:rPr>
      </w:pPr>
      <w:r w:rsidRPr="00B46E49">
        <w:rPr>
          <w:rFonts w:asciiTheme="majorBidi" w:hAnsiTheme="majorBidi" w:cs="Times New Roman"/>
          <w:b/>
          <w:bCs/>
          <w:sz w:val="24"/>
          <w:szCs w:val="24"/>
        </w:rPr>
        <w:t xml:space="preserve">Principe </w:t>
      </w:r>
    </w:p>
    <w:p w:rsidR="00DC664D" w:rsidRDefault="00DC664D" w:rsidP="004E2073">
      <w:pPr>
        <w:autoSpaceDE w:val="0"/>
        <w:autoSpaceDN w:val="0"/>
        <w:adjustRightInd w:val="0"/>
        <w:spacing w:after="0" w:line="360" w:lineRule="auto"/>
        <w:ind w:firstLine="360"/>
        <w:jc w:val="both"/>
        <w:rPr>
          <w:rFonts w:asciiTheme="majorBidi" w:hAnsiTheme="majorBidi" w:cs="Times New Roman"/>
          <w:sz w:val="24"/>
          <w:szCs w:val="24"/>
        </w:rPr>
      </w:pPr>
      <w:r w:rsidRPr="00D34555">
        <w:rPr>
          <w:rFonts w:asciiTheme="majorBidi" w:hAnsiTheme="majorBidi" w:cs="Times New Roman"/>
          <w:sz w:val="24"/>
          <w:szCs w:val="24"/>
        </w:rPr>
        <w:t xml:space="preserve">Les triglycérides sont dosés après hydrolyse enzymatique par des lipases. L’indicateur est une quinone-imine formée à partir de peroxyde d’hydrogène, de 4-aminophénazone et de 4-chlorophénol, la réaction </w:t>
      </w:r>
      <w:r>
        <w:rPr>
          <w:rFonts w:asciiTheme="majorBidi" w:hAnsiTheme="majorBidi" w:cs="Times New Roman"/>
          <w:sz w:val="24"/>
          <w:szCs w:val="24"/>
        </w:rPr>
        <w:t xml:space="preserve">est </w:t>
      </w:r>
      <w:r w:rsidRPr="00D34555">
        <w:rPr>
          <w:rFonts w:asciiTheme="majorBidi" w:hAnsiTheme="majorBidi" w:cs="Times New Roman"/>
          <w:sz w:val="24"/>
          <w:szCs w:val="24"/>
        </w:rPr>
        <w:t>catalysée par la peroxydase.</w:t>
      </w:r>
    </w:p>
    <w:p w:rsidR="00DC664D" w:rsidRDefault="00DC664D" w:rsidP="00DC664D">
      <w:pPr>
        <w:autoSpaceDE w:val="0"/>
        <w:autoSpaceDN w:val="0"/>
        <w:adjustRightInd w:val="0"/>
        <w:spacing w:after="0" w:line="360" w:lineRule="auto"/>
        <w:jc w:val="both"/>
        <w:rPr>
          <w:rFonts w:asciiTheme="majorBidi" w:hAnsiTheme="majorBidi" w:cs="Times New Roman"/>
          <w:sz w:val="24"/>
          <w:szCs w:val="24"/>
        </w:rPr>
      </w:pPr>
    </w:p>
    <w:p w:rsidR="00DC664D" w:rsidRDefault="00824C86" w:rsidP="00DC664D">
      <w:pPr>
        <w:autoSpaceDE w:val="0"/>
        <w:autoSpaceDN w:val="0"/>
        <w:adjustRightInd w:val="0"/>
        <w:spacing w:after="0" w:line="360" w:lineRule="auto"/>
        <w:jc w:val="both"/>
        <w:rPr>
          <w:rFonts w:asciiTheme="majorBidi" w:hAnsiTheme="majorBidi" w:cs="Times New Roman"/>
          <w:b/>
          <w:bCs/>
          <w:sz w:val="24"/>
          <w:szCs w:val="24"/>
        </w:rPr>
      </w:pPr>
      <w:r w:rsidRPr="00824C86">
        <w:rPr>
          <w:noProof/>
          <w:lang w:eastAsia="fr-FR"/>
        </w:rPr>
        <w:pict>
          <v:rect id="Rectangle 34" o:spid="_x0000_s1037" style="position:absolute;left:0;text-align:left;margin-left:2.5pt;margin-top:9.1pt;width:472.4pt;height:149.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" filled="f"/>
        </w:pict>
      </w:r>
      <w:r w:rsidR="00DC664D">
        <w:rPr>
          <w:noProof/>
          <w:lang w:eastAsia="fr-FR"/>
        </w:rPr>
        <w:drawing>
          <wp:anchor distT="0" distB="0" distL="114300" distR="114300" simplePos="0" relativeHeight="251688960" behindDoc="1" locked="0" layoutInCell="1" allowOverlap="1">
            <wp:simplePos x="0" y="0"/>
            <wp:positionH relativeFrom="column">
              <wp:posOffset>454660</wp:posOffset>
            </wp:positionH>
            <wp:positionV relativeFrom="paragraph">
              <wp:posOffset>80010</wp:posOffset>
            </wp:positionV>
            <wp:extent cx="5634355" cy="1969135"/>
            <wp:effectExtent l="0" t="0" r="0" b="0"/>
            <wp:wrapTight wrapText="bothSides">
              <wp:wrapPolygon edited="0">
                <wp:start x="5185" y="627"/>
                <wp:lineTo x="0" y="2508"/>
                <wp:lineTo x="0" y="4388"/>
                <wp:lineTo x="511" y="4388"/>
                <wp:lineTo x="0" y="7732"/>
                <wp:lineTo x="0" y="9612"/>
                <wp:lineTo x="6719" y="11075"/>
                <wp:lineTo x="0" y="12120"/>
                <wp:lineTo x="0" y="14001"/>
                <wp:lineTo x="365" y="14419"/>
                <wp:lineTo x="0" y="17344"/>
                <wp:lineTo x="0" y="19016"/>
                <wp:lineTo x="3871" y="19643"/>
                <wp:lineTo x="13803" y="19643"/>
                <wp:lineTo x="18623" y="19225"/>
                <wp:lineTo x="20156" y="18807"/>
                <wp:lineTo x="20156" y="17344"/>
                <wp:lineTo x="14825" y="14419"/>
                <wp:lineTo x="17892" y="14210"/>
                <wp:lineTo x="17673" y="12120"/>
                <wp:lineTo x="7741" y="11075"/>
                <wp:lineTo x="10297" y="11075"/>
                <wp:lineTo x="13876" y="9194"/>
                <wp:lineTo x="13803" y="7732"/>
                <wp:lineTo x="12561" y="4388"/>
                <wp:lineTo x="13219" y="4388"/>
                <wp:lineTo x="12853" y="2090"/>
                <wp:lineTo x="5769" y="627"/>
                <wp:lineTo x="5185" y="627"/>
              </wp:wrapPolygon>
            </wp:wrapTight>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4355" cy="1969135"/>
                    </a:xfrm>
                    <a:prstGeom prst="rect">
                      <a:avLst/>
                    </a:prstGeom>
                    <a:noFill/>
                    <a:ln>
                      <a:noFill/>
                    </a:ln>
                  </pic:spPr>
                </pic:pic>
              </a:graphicData>
            </a:graphic>
          </wp:anchor>
        </w:drawing>
      </w:r>
    </w:p>
    <w:p w:rsidR="00DC664D"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Pr="00C450A4" w:rsidRDefault="00DC664D" w:rsidP="00DC664D">
      <w:pPr>
        <w:autoSpaceDE w:val="0"/>
        <w:autoSpaceDN w:val="0"/>
        <w:adjustRightInd w:val="0"/>
        <w:spacing w:after="0" w:line="360" w:lineRule="auto"/>
        <w:jc w:val="both"/>
        <w:rPr>
          <w:rFonts w:asciiTheme="majorBidi" w:hAnsiTheme="majorBidi" w:cs="Times New Roman"/>
          <w:sz w:val="24"/>
          <w:szCs w:val="24"/>
        </w:rPr>
      </w:pPr>
    </w:p>
    <w:p w:rsidR="00DC664D" w:rsidRDefault="00DC664D" w:rsidP="00DC664D">
      <w:pPr>
        <w:autoSpaceDE w:val="0"/>
        <w:autoSpaceDN w:val="0"/>
        <w:adjustRightInd w:val="0"/>
        <w:spacing w:after="0" w:line="360" w:lineRule="auto"/>
        <w:jc w:val="both"/>
        <w:rPr>
          <w:rFonts w:ascii="Times New Roman" w:hAnsi="Times New Roman" w:cs="Times New Roman"/>
          <w:b/>
          <w:bCs/>
          <w:sz w:val="24"/>
          <w:szCs w:val="24"/>
        </w:rPr>
      </w:pPr>
    </w:p>
    <w:p w:rsidR="00DC664D" w:rsidRPr="007D7DA0" w:rsidRDefault="00DC664D" w:rsidP="00A21FB0">
      <w:pPr>
        <w:pStyle w:val="Paragraphedeliste"/>
        <w:numPr>
          <w:ilvl w:val="0"/>
          <w:numId w:val="40"/>
        </w:numPr>
        <w:autoSpaceDE w:val="0"/>
        <w:autoSpaceDN w:val="0"/>
        <w:adjustRightInd w:val="0"/>
        <w:spacing w:after="0" w:line="360" w:lineRule="auto"/>
        <w:jc w:val="both"/>
        <w:rPr>
          <w:rFonts w:asciiTheme="majorBidi" w:hAnsiTheme="majorBidi" w:cs="Times New Roman"/>
          <w:b/>
          <w:bCs/>
          <w:sz w:val="24"/>
          <w:szCs w:val="24"/>
        </w:rPr>
      </w:pPr>
      <w:r w:rsidRPr="007D7DA0">
        <w:rPr>
          <w:rFonts w:ascii="Times New Roman" w:hAnsi="Times New Roman" w:cs="Times New Roman"/>
          <w:b/>
          <w:bCs/>
          <w:sz w:val="24"/>
          <w:szCs w:val="24"/>
        </w:rPr>
        <w:lastRenderedPageBreak/>
        <w:t xml:space="preserve">Réactifs utilisées : </w:t>
      </w:r>
      <w:r w:rsidRPr="007D7DA0">
        <w:rPr>
          <w:rFonts w:asciiTheme="majorBidi" w:hAnsiTheme="majorBidi" w:cs="Times New Roman"/>
          <w:b/>
          <w:bCs/>
          <w:sz w:val="24"/>
          <w:szCs w:val="24"/>
        </w:rPr>
        <w:t>Rèf 201 31, (240 Tests)</w:t>
      </w:r>
    </w:p>
    <w:p w:rsidR="00DC664D" w:rsidRDefault="00DC664D" w:rsidP="00DC664D">
      <w:pPr>
        <w:autoSpaceDE w:val="0"/>
        <w:autoSpaceDN w:val="0"/>
        <w:adjustRightInd w:val="0"/>
        <w:spacing w:after="0" w:line="360" w:lineRule="auto"/>
        <w:jc w:val="both"/>
        <w:rPr>
          <w:rFonts w:ascii="Times New Roman" w:hAnsi="Times New Roman" w:cs="Times New Roman"/>
          <w:b/>
          <w:bCs/>
          <w:sz w:val="24"/>
          <w:szCs w:val="24"/>
        </w:rPr>
      </w:pPr>
    </w:p>
    <w:p w:rsidR="00DC664D" w:rsidRPr="00C450A4" w:rsidRDefault="00DC664D" w:rsidP="00A21FB0">
      <w:pPr>
        <w:pStyle w:val="Paragraphedeliste"/>
        <w:numPr>
          <w:ilvl w:val="0"/>
          <w:numId w:val="39"/>
        </w:numPr>
        <w:autoSpaceDE w:val="0"/>
        <w:autoSpaceDN w:val="0"/>
        <w:adjustRightInd w:val="0"/>
        <w:spacing w:after="0" w:line="240" w:lineRule="auto"/>
        <w:rPr>
          <w:rFonts w:asciiTheme="majorBidi" w:hAnsiTheme="majorBidi" w:cs="Times New Roman"/>
          <w:sz w:val="24"/>
          <w:szCs w:val="24"/>
        </w:rPr>
      </w:pPr>
      <w:r w:rsidRPr="00C450A4">
        <w:rPr>
          <w:rFonts w:asciiTheme="majorBidi" w:hAnsiTheme="majorBidi" w:cs="Times New Roman"/>
          <w:b/>
          <w:bCs/>
          <w:sz w:val="24"/>
          <w:szCs w:val="24"/>
        </w:rPr>
        <w:t xml:space="preserve">Réactif 1 : </w:t>
      </w:r>
      <w:r w:rsidRPr="00C450A4">
        <w:rPr>
          <w:rFonts w:asciiTheme="majorBidi" w:hAnsiTheme="majorBidi" w:cs="Times New Roman"/>
          <w:sz w:val="24"/>
          <w:szCs w:val="24"/>
        </w:rPr>
        <w:t xml:space="preserve">Tampon pipes pH 7,2 </w:t>
      </w:r>
      <w:r>
        <w:rPr>
          <w:rFonts w:asciiTheme="majorBidi" w:hAnsiTheme="majorBidi" w:cs="Times New Roman"/>
          <w:sz w:val="24"/>
          <w:szCs w:val="24"/>
        </w:rPr>
        <w:t>(</w:t>
      </w:r>
      <w:r w:rsidRPr="00C450A4">
        <w:rPr>
          <w:rFonts w:asciiTheme="majorBidi" w:hAnsiTheme="majorBidi" w:cs="Times New Roman"/>
          <w:sz w:val="24"/>
          <w:szCs w:val="24"/>
        </w:rPr>
        <w:t>50 mmol/l</w:t>
      </w:r>
      <w:r>
        <w:rPr>
          <w:rFonts w:asciiTheme="majorBidi" w:hAnsiTheme="majorBidi" w:cs="Times New Roman"/>
          <w:sz w:val="24"/>
          <w:szCs w:val="24"/>
        </w:rPr>
        <w:t>)</w:t>
      </w:r>
      <w:r w:rsidRPr="00C450A4">
        <w:rPr>
          <w:rFonts w:asciiTheme="majorBidi" w:hAnsiTheme="majorBidi" w:cs="Times New Roman"/>
          <w:sz w:val="24"/>
          <w:szCs w:val="24"/>
        </w:rPr>
        <w:t xml:space="preserve"> Solution tampon Chloro-4-phénol</w:t>
      </w:r>
      <w:r>
        <w:rPr>
          <w:rFonts w:asciiTheme="majorBidi" w:hAnsiTheme="majorBidi" w:cs="Times New Roman"/>
          <w:sz w:val="24"/>
          <w:szCs w:val="24"/>
        </w:rPr>
        <w:t>(</w:t>
      </w:r>
      <w:r w:rsidRPr="00C450A4">
        <w:rPr>
          <w:rFonts w:asciiTheme="majorBidi" w:hAnsiTheme="majorBidi" w:cs="Times New Roman"/>
          <w:sz w:val="24"/>
          <w:szCs w:val="24"/>
        </w:rPr>
        <w:t xml:space="preserve"> 2 mmol/l</w:t>
      </w:r>
      <w:r>
        <w:rPr>
          <w:rFonts w:asciiTheme="majorBidi" w:hAnsiTheme="majorBidi" w:cs="Times New Roman"/>
          <w:sz w:val="24"/>
          <w:szCs w:val="24"/>
        </w:rPr>
        <w:t>).</w:t>
      </w:r>
    </w:p>
    <w:p w:rsidR="00DC664D" w:rsidRPr="00C450A4" w:rsidRDefault="00DC664D" w:rsidP="00DC664D">
      <w:pPr>
        <w:autoSpaceDE w:val="0"/>
        <w:autoSpaceDN w:val="0"/>
        <w:adjustRightInd w:val="0"/>
        <w:spacing w:after="0" w:line="240" w:lineRule="auto"/>
        <w:rPr>
          <w:rFonts w:asciiTheme="majorBidi" w:hAnsiTheme="majorBidi" w:cs="Times New Roman"/>
          <w:b/>
          <w:bCs/>
          <w:sz w:val="24"/>
          <w:szCs w:val="24"/>
        </w:rPr>
      </w:pPr>
    </w:p>
    <w:p w:rsidR="00DC664D" w:rsidRPr="00C450A4" w:rsidRDefault="00DC664D" w:rsidP="00A21FB0">
      <w:pPr>
        <w:pStyle w:val="Paragraphedeliste"/>
        <w:numPr>
          <w:ilvl w:val="0"/>
          <w:numId w:val="39"/>
        </w:numPr>
        <w:autoSpaceDE w:val="0"/>
        <w:autoSpaceDN w:val="0"/>
        <w:adjustRightInd w:val="0"/>
        <w:spacing w:after="0" w:line="240" w:lineRule="auto"/>
        <w:rPr>
          <w:rFonts w:asciiTheme="majorBidi" w:hAnsiTheme="majorBidi" w:cs="Times New Roman"/>
          <w:sz w:val="24"/>
          <w:szCs w:val="24"/>
        </w:rPr>
      </w:pPr>
      <w:r w:rsidRPr="00C450A4">
        <w:rPr>
          <w:rFonts w:asciiTheme="majorBidi" w:hAnsiTheme="majorBidi" w:cs="Times New Roman"/>
          <w:b/>
          <w:bCs/>
          <w:sz w:val="24"/>
          <w:szCs w:val="24"/>
        </w:rPr>
        <w:t xml:space="preserve">Réactif 2 : </w:t>
      </w:r>
      <w:r w:rsidRPr="00C450A4">
        <w:rPr>
          <w:rFonts w:asciiTheme="majorBidi" w:hAnsiTheme="majorBidi" w:cs="Times New Roman"/>
          <w:sz w:val="24"/>
          <w:szCs w:val="24"/>
        </w:rPr>
        <w:t xml:space="preserve">Lipoproteine lipase </w:t>
      </w:r>
      <w:r>
        <w:rPr>
          <w:rFonts w:asciiTheme="majorBidi" w:hAnsiTheme="majorBidi" w:cs="Times New Roman"/>
          <w:sz w:val="24"/>
          <w:szCs w:val="24"/>
        </w:rPr>
        <w:t>(</w:t>
      </w:r>
      <w:r w:rsidRPr="00C450A4">
        <w:rPr>
          <w:rFonts w:asciiTheme="majorBidi" w:hAnsiTheme="majorBidi" w:cs="Times New Roman"/>
          <w:sz w:val="24"/>
          <w:szCs w:val="24"/>
        </w:rPr>
        <w:t>150000 U/l</w:t>
      </w:r>
      <w:r>
        <w:rPr>
          <w:rFonts w:asciiTheme="majorBidi" w:hAnsiTheme="majorBidi" w:cs="Times New Roman"/>
          <w:sz w:val="24"/>
          <w:szCs w:val="24"/>
        </w:rPr>
        <w:t>)</w:t>
      </w:r>
      <w:r w:rsidRPr="00C450A4">
        <w:rPr>
          <w:rFonts w:asciiTheme="majorBidi" w:hAnsiTheme="majorBidi" w:cs="Times New Roman"/>
          <w:sz w:val="24"/>
          <w:szCs w:val="24"/>
        </w:rPr>
        <w:t xml:space="preserve"> enzymes Glycérokinase</w:t>
      </w:r>
      <w:r>
        <w:rPr>
          <w:rFonts w:asciiTheme="majorBidi" w:hAnsiTheme="majorBidi" w:cs="Times New Roman"/>
          <w:sz w:val="24"/>
          <w:szCs w:val="24"/>
        </w:rPr>
        <w:t>(</w:t>
      </w:r>
      <w:r w:rsidRPr="00C450A4">
        <w:rPr>
          <w:rFonts w:asciiTheme="majorBidi" w:hAnsiTheme="majorBidi" w:cs="Times New Roman"/>
          <w:sz w:val="24"/>
          <w:szCs w:val="24"/>
        </w:rPr>
        <w:t>800 U/l</w:t>
      </w:r>
      <w:r>
        <w:rPr>
          <w:rFonts w:asciiTheme="majorBidi" w:hAnsiTheme="majorBidi" w:cs="Times New Roman"/>
          <w:sz w:val="24"/>
          <w:szCs w:val="24"/>
        </w:rPr>
        <w:t>)</w:t>
      </w:r>
      <w:r w:rsidRPr="00C450A4">
        <w:rPr>
          <w:rFonts w:asciiTheme="majorBidi" w:hAnsiTheme="majorBidi" w:cs="Times New Roman"/>
          <w:sz w:val="24"/>
          <w:szCs w:val="24"/>
        </w:rPr>
        <w:t xml:space="preserve"> Glycérol 3-P-Oxydase </w:t>
      </w:r>
      <w:r>
        <w:rPr>
          <w:rFonts w:asciiTheme="majorBidi" w:hAnsiTheme="majorBidi" w:cs="Times New Roman"/>
          <w:sz w:val="24"/>
          <w:szCs w:val="24"/>
        </w:rPr>
        <w:t>(</w:t>
      </w:r>
      <w:r w:rsidRPr="00C450A4">
        <w:rPr>
          <w:rFonts w:asciiTheme="majorBidi" w:hAnsiTheme="majorBidi" w:cs="Times New Roman"/>
          <w:sz w:val="24"/>
          <w:szCs w:val="24"/>
        </w:rPr>
        <w:t>4000 U/l</w:t>
      </w:r>
      <w:r>
        <w:rPr>
          <w:rFonts w:asciiTheme="majorBidi" w:hAnsiTheme="majorBidi" w:cs="Times New Roman"/>
          <w:sz w:val="24"/>
          <w:szCs w:val="24"/>
        </w:rPr>
        <w:t>)</w:t>
      </w:r>
      <w:r w:rsidRPr="00C450A4">
        <w:rPr>
          <w:rFonts w:asciiTheme="majorBidi" w:hAnsiTheme="majorBidi" w:cs="Times New Roman"/>
          <w:sz w:val="24"/>
          <w:szCs w:val="24"/>
        </w:rPr>
        <w:t>Péroxydase</w:t>
      </w:r>
      <w:r>
        <w:rPr>
          <w:rFonts w:asciiTheme="majorBidi" w:hAnsiTheme="majorBidi" w:cs="Times New Roman"/>
          <w:sz w:val="24"/>
          <w:szCs w:val="24"/>
        </w:rPr>
        <w:t>(</w:t>
      </w:r>
      <w:r w:rsidRPr="00C450A4">
        <w:rPr>
          <w:rFonts w:asciiTheme="majorBidi" w:hAnsiTheme="majorBidi" w:cs="Times New Roman"/>
          <w:sz w:val="24"/>
          <w:szCs w:val="24"/>
        </w:rPr>
        <w:t>440 U/l</w:t>
      </w:r>
      <w:r>
        <w:rPr>
          <w:rFonts w:asciiTheme="majorBidi" w:hAnsiTheme="majorBidi" w:cs="Times New Roman"/>
          <w:sz w:val="24"/>
          <w:szCs w:val="24"/>
        </w:rPr>
        <w:t>)</w:t>
      </w:r>
      <w:r w:rsidRPr="00C450A4">
        <w:rPr>
          <w:rFonts w:asciiTheme="majorBidi" w:hAnsiTheme="majorBidi" w:cs="Times New Roman"/>
          <w:sz w:val="24"/>
          <w:szCs w:val="24"/>
        </w:rPr>
        <w:t xml:space="preserve"> Amino-4-antipyrine </w:t>
      </w:r>
      <w:r>
        <w:rPr>
          <w:rFonts w:asciiTheme="majorBidi" w:hAnsiTheme="majorBidi" w:cs="Times New Roman"/>
          <w:sz w:val="24"/>
          <w:szCs w:val="24"/>
        </w:rPr>
        <w:t>(</w:t>
      </w:r>
      <w:r w:rsidRPr="00C450A4">
        <w:rPr>
          <w:rFonts w:asciiTheme="majorBidi" w:hAnsiTheme="majorBidi" w:cs="Times New Roman"/>
          <w:sz w:val="24"/>
          <w:szCs w:val="24"/>
        </w:rPr>
        <w:t>0,7 mmo/l</w:t>
      </w:r>
      <w:r>
        <w:rPr>
          <w:rFonts w:asciiTheme="majorBidi" w:hAnsiTheme="majorBidi" w:cs="Times New Roman"/>
          <w:sz w:val="24"/>
          <w:szCs w:val="24"/>
        </w:rPr>
        <w:t xml:space="preserve">) </w:t>
      </w:r>
      <w:r w:rsidRPr="00C450A4">
        <w:rPr>
          <w:rFonts w:asciiTheme="majorBidi" w:hAnsiTheme="majorBidi" w:cs="Times New Roman"/>
          <w:sz w:val="24"/>
          <w:szCs w:val="24"/>
        </w:rPr>
        <w:t xml:space="preserve">ATP </w:t>
      </w:r>
      <w:r>
        <w:rPr>
          <w:rFonts w:asciiTheme="majorBidi" w:hAnsiTheme="majorBidi" w:cs="Times New Roman"/>
          <w:sz w:val="24"/>
          <w:szCs w:val="24"/>
        </w:rPr>
        <w:t>(</w:t>
      </w:r>
      <w:r w:rsidRPr="00C450A4">
        <w:rPr>
          <w:rFonts w:asciiTheme="majorBidi" w:hAnsiTheme="majorBidi" w:cs="Times New Roman"/>
          <w:sz w:val="24"/>
          <w:szCs w:val="24"/>
        </w:rPr>
        <w:t>0,3 mmol/l</w:t>
      </w:r>
      <w:r>
        <w:rPr>
          <w:rFonts w:asciiTheme="majorBidi" w:hAnsiTheme="majorBidi" w:cs="Times New Roman"/>
          <w:sz w:val="24"/>
          <w:szCs w:val="24"/>
        </w:rPr>
        <w:t>).</w:t>
      </w:r>
    </w:p>
    <w:p w:rsidR="00DC664D" w:rsidRPr="00C450A4" w:rsidRDefault="00DC664D" w:rsidP="00DC664D">
      <w:pPr>
        <w:autoSpaceDE w:val="0"/>
        <w:autoSpaceDN w:val="0"/>
        <w:adjustRightInd w:val="0"/>
        <w:spacing w:after="0" w:line="360" w:lineRule="auto"/>
        <w:jc w:val="both"/>
        <w:rPr>
          <w:rFonts w:asciiTheme="majorBidi" w:hAnsiTheme="majorBidi" w:cs="Times New Roman"/>
          <w:b/>
          <w:bCs/>
          <w:sz w:val="24"/>
          <w:szCs w:val="24"/>
        </w:rPr>
      </w:pPr>
    </w:p>
    <w:p w:rsidR="00DC664D" w:rsidRPr="007D7DA0" w:rsidRDefault="00DC664D" w:rsidP="00A21FB0">
      <w:pPr>
        <w:pStyle w:val="Paragraphedeliste"/>
        <w:numPr>
          <w:ilvl w:val="0"/>
          <w:numId w:val="41"/>
        </w:numPr>
        <w:autoSpaceDE w:val="0"/>
        <w:autoSpaceDN w:val="0"/>
        <w:adjustRightInd w:val="0"/>
        <w:spacing w:after="0" w:line="360" w:lineRule="auto"/>
        <w:jc w:val="both"/>
        <w:rPr>
          <w:rFonts w:ascii="Times New Roman" w:hAnsi="Times New Roman" w:cs="Times New Roman"/>
          <w:b/>
          <w:bCs/>
          <w:sz w:val="24"/>
          <w:szCs w:val="24"/>
        </w:rPr>
      </w:pPr>
      <w:r w:rsidRPr="007D7DA0">
        <w:rPr>
          <w:rFonts w:ascii="Times New Roman" w:hAnsi="Times New Roman" w:cs="Times New Roman"/>
          <w:b/>
          <w:bCs/>
          <w:sz w:val="24"/>
          <w:szCs w:val="24"/>
        </w:rPr>
        <w:t>Valeurs usuelles : 0.5 – 1.5 g/l.</w:t>
      </w:r>
    </w:p>
    <w:p w:rsidR="00DC664D" w:rsidRDefault="00DC664D" w:rsidP="00DC664D">
      <w:pPr>
        <w:autoSpaceDE w:val="0"/>
        <w:autoSpaceDN w:val="0"/>
        <w:adjustRightInd w:val="0"/>
        <w:spacing w:after="0" w:line="360" w:lineRule="auto"/>
        <w:jc w:val="both"/>
        <w:rPr>
          <w:rFonts w:ascii="Times New Roman" w:hAnsi="Times New Roman" w:cs="Times New Roman"/>
          <w:b/>
          <w:bCs/>
          <w:sz w:val="24"/>
          <w:szCs w:val="24"/>
        </w:rPr>
      </w:pPr>
    </w:p>
    <w:p w:rsidR="00DC664D" w:rsidRPr="00691619" w:rsidRDefault="00DC664D" w:rsidP="00DC664D">
      <w:pPr>
        <w:autoSpaceDE w:val="0"/>
        <w:autoSpaceDN w:val="0"/>
        <w:adjustRightInd w:val="0"/>
        <w:spacing w:after="0" w:line="360" w:lineRule="auto"/>
        <w:jc w:val="both"/>
        <w:rPr>
          <w:rFonts w:ascii="Times New Roman" w:hAnsi="Times New Roman" w:cs="Times New Roman"/>
          <w:b/>
          <w:bCs/>
          <w:color w:val="7030A0"/>
          <w:sz w:val="24"/>
          <w:szCs w:val="24"/>
        </w:rPr>
      </w:pPr>
      <w:r w:rsidRPr="00691619">
        <w:rPr>
          <w:rFonts w:ascii="Times New Roman" w:hAnsi="Times New Roman" w:cs="Times New Roman"/>
          <w:b/>
          <w:bCs/>
          <w:color w:val="7030A0"/>
          <w:sz w:val="28"/>
          <w:szCs w:val="28"/>
        </w:rPr>
        <w:t xml:space="preserve">6. Saisie et traitement des données </w:t>
      </w:r>
    </w:p>
    <w:p w:rsidR="00DC664D" w:rsidRDefault="00DC664D" w:rsidP="004E2073">
      <w:pPr>
        <w:spacing w:line="360" w:lineRule="auto"/>
        <w:ind w:firstLine="360"/>
        <w:jc w:val="both"/>
        <w:rPr>
          <w:rFonts w:asciiTheme="majorBidi" w:hAnsiTheme="majorBidi" w:cs="Times New Roman"/>
          <w:sz w:val="24"/>
          <w:szCs w:val="24"/>
        </w:rPr>
      </w:pPr>
      <w:r w:rsidRPr="00551628">
        <w:rPr>
          <w:rFonts w:asciiTheme="majorBidi" w:hAnsiTheme="majorBidi" w:cs="Times New Roman"/>
          <w:bCs/>
          <w:sz w:val="24"/>
          <w:szCs w:val="24"/>
        </w:rPr>
        <w:t>La saisie et le traitement des données ont été réalisés à l’aide du logiciel Excel 2010.</w:t>
      </w:r>
      <w:r w:rsidRPr="00551628">
        <w:rPr>
          <w:rFonts w:asciiTheme="majorBidi" w:hAnsiTheme="majorBidi" w:cs="Times New Roman"/>
          <w:sz w:val="24"/>
          <w:szCs w:val="24"/>
        </w:rPr>
        <w:t>Les tests statistiques ont été  réalisés  par le logiciel MINITAB</w:t>
      </w:r>
      <w:r w:rsidRPr="00006EB7">
        <w:rPr>
          <w:rFonts w:asciiTheme="majorBidi" w:hAnsiTheme="majorBidi" w:cs="Times New Roman"/>
          <w:sz w:val="24"/>
          <w:szCs w:val="24"/>
        </w:rPr>
        <w:t xml:space="preserve">version 13.  </w:t>
      </w:r>
    </w:p>
    <w:p w:rsidR="00DC664D" w:rsidRDefault="00DC664D" w:rsidP="00A21FB0">
      <w:pPr>
        <w:pStyle w:val="Paragraphedeliste"/>
        <w:numPr>
          <w:ilvl w:val="0"/>
          <w:numId w:val="11"/>
        </w:numPr>
        <w:spacing w:line="360" w:lineRule="auto"/>
        <w:jc w:val="both"/>
        <w:rPr>
          <w:rFonts w:asciiTheme="majorBidi" w:hAnsiTheme="majorBidi" w:cs="Times New Roman"/>
          <w:sz w:val="24"/>
          <w:szCs w:val="24"/>
        </w:rPr>
      </w:pPr>
      <w:r w:rsidRPr="00006EB7">
        <w:rPr>
          <w:rFonts w:asciiTheme="majorBidi" w:hAnsiTheme="majorBidi" w:cs="Times New Roman"/>
          <w:sz w:val="24"/>
          <w:szCs w:val="24"/>
        </w:rPr>
        <w:t xml:space="preserve">Le test  de χ2 pour comparer entre deux  pourcentages  lorsque  les  variables  sont </w:t>
      </w:r>
      <w:r w:rsidRPr="00140FF9">
        <w:rPr>
          <w:rFonts w:asciiTheme="majorBidi" w:hAnsiTheme="majorBidi" w:cs="Times New Roman"/>
          <w:sz w:val="24"/>
          <w:szCs w:val="24"/>
        </w:rPr>
        <w:t>qualitatives.</w:t>
      </w:r>
    </w:p>
    <w:p w:rsidR="00DC664D" w:rsidRDefault="00DC664D" w:rsidP="00A21FB0">
      <w:pPr>
        <w:pStyle w:val="Paragraphedeliste"/>
        <w:numPr>
          <w:ilvl w:val="0"/>
          <w:numId w:val="11"/>
        </w:num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Le test de student pour comparer entre deux moyennes lorsque les variables sont quantitatives </w:t>
      </w:r>
    </w:p>
    <w:p w:rsidR="00DC664D" w:rsidRPr="004B3D60" w:rsidRDefault="00DC664D" w:rsidP="00A21FB0">
      <w:pPr>
        <w:pStyle w:val="Paragraphedeliste"/>
        <w:numPr>
          <w:ilvl w:val="0"/>
          <w:numId w:val="11"/>
        </w:numPr>
        <w:spacing w:line="360" w:lineRule="auto"/>
        <w:jc w:val="both"/>
        <w:rPr>
          <w:rFonts w:asciiTheme="majorBidi" w:hAnsiTheme="majorBidi" w:cs="Times New Roman"/>
          <w:sz w:val="24"/>
          <w:szCs w:val="24"/>
        </w:rPr>
      </w:pPr>
      <w:r w:rsidRPr="004B3D60">
        <w:rPr>
          <w:rFonts w:asciiTheme="majorBidi" w:hAnsiTheme="majorBidi" w:cs="Times New Roman"/>
          <w:sz w:val="24"/>
          <w:szCs w:val="24"/>
        </w:rPr>
        <w:t xml:space="preserve">Le  calcul  du risque relatif </w:t>
      </w:r>
      <w:r w:rsidRPr="004B3D60">
        <w:rPr>
          <w:rFonts w:asciiTheme="majorBidi" w:hAnsiTheme="majorBidi" w:cs="Times New Roman"/>
          <w:color w:val="303030"/>
          <w:sz w:val="24"/>
          <w:szCs w:val="24"/>
          <w:shd w:val="clear" w:color="auto" w:fill="FFFFFF"/>
        </w:rPr>
        <w:t xml:space="preserve">a </w:t>
      </w:r>
      <w:r w:rsidRPr="004B3D60">
        <w:rPr>
          <w:rFonts w:asciiTheme="majorBidi" w:hAnsiTheme="majorBidi" w:cs="Times New Roman"/>
          <w:sz w:val="24"/>
          <w:szCs w:val="24"/>
        </w:rPr>
        <w:t xml:space="preserve">été  effectué  à  l’aide  d’un  logiciel  de  statistiques  médicales  et épidémiologiques  disponible en ligne sur le site : </w:t>
      </w:r>
    </w:p>
    <w:p w:rsidR="00DC664D" w:rsidRDefault="00824C86" w:rsidP="00DC664D">
      <w:pPr>
        <w:pStyle w:val="Paragraphedeliste"/>
        <w:spacing w:line="360" w:lineRule="auto"/>
        <w:jc w:val="both"/>
        <w:rPr>
          <w:rFonts w:asciiTheme="majorBidi" w:hAnsiTheme="majorBidi" w:cs="Times New Roman"/>
          <w:sz w:val="24"/>
          <w:szCs w:val="24"/>
        </w:rPr>
      </w:pPr>
      <w:hyperlink r:id="rId54" w:history="1">
        <w:r w:rsidR="00DC664D" w:rsidRPr="004B3D60">
          <w:rPr>
            <w:rStyle w:val="Lienhypertexte"/>
            <w:rFonts w:asciiTheme="majorBidi" w:hAnsiTheme="majorBidi"/>
            <w:sz w:val="24"/>
            <w:szCs w:val="24"/>
          </w:rPr>
          <w:t>http://www.aly-abbara.com/utilitaires/statistiques/khi_carre_rr_odds_ratio_ic.html</w:t>
        </w:r>
      </w:hyperlink>
    </w:p>
    <w:p w:rsidR="00DC664D" w:rsidRPr="007173DE" w:rsidRDefault="00DC664D" w:rsidP="00DC664D">
      <w:pPr>
        <w:pStyle w:val="Paragraphedeliste"/>
        <w:spacing w:line="360" w:lineRule="auto"/>
        <w:ind w:firstLine="696"/>
        <w:jc w:val="both"/>
        <w:rPr>
          <w:rFonts w:asciiTheme="majorBidi" w:hAnsiTheme="majorBidi" w:cs="Times New Roman"/>
          <w:sz w:val="24"/>
          <w:szCs w:val="24"/>
        </w:rPr>
      </w:pPr>
      <w:r>
        <w:rPr>
          <w:rFonts w:asciiTheme="majorBidi" w:hAnsiTheme="majorBidi" w:cs="Times New Roman"/>
          <w:sz w:val="24"/>
          <w:szCs w:val="24"/>
        </w:rPr>
        <w:t>L</w:t>
      </w:r>
      <w:r w:rsidRPr="007173DE">
        <w:rPr>
          <w:rFonts w:asciiTheme="majorBidi" w:hAnsiTheme="majorBidi" w:cs="Times New Roman"/>
          <w:sz w:val="24"/>
          <w:szCs w:val="24"/>
        </w:rPr>
        <w:t xml:space="preserve">e risque relatif est </w:t>
      </w:r>
      <w:r w:rsidRPr="007173DE">
        <w:rPr>
          <w:rFonts w:asciiTheme="majorBidi" w:hAnsiTheme="majorBidi" w:cs="Times New Roman"/>
          <w:sz w:val="24"/>
          <w:szCs w:val="24"/>
          <w:shd w:val="clear" w:color="auto" w:fill="FFFFFF"/>
        </w:rPr>
        <w:t xml:space="preserve">une mesure de probabilité, souvent utilisé en épidémiologie, qui permet de mesurer le risque de développer une maladie par rapport à un facteur de risque. Le RR se calcule en faisant le rapport entre le fait de développer la maladie si l'on est exposé au facteur de risque et le fait de développer la maladie si l'on n'est pas exposé au facteur de risque </w:t>
      </w:r>
    </w:p>
    <w:p w:rsidR="00DC664D" w:rsidRPr="00006EB7" w:rsidRDefault="00DC664D" w:rsidP="00A21FB0">
      <w:pPr>
        <w:pStyle w:val="Paragraphedeliste"/>
        <w:numPr>
          <w:ilvl w:val="0"/>
          <w:numId w:val="11"/>
        </w:numPr>
        <w:spacing w:line="360" w:lineRule="auto"/>
        <w:jc w:val="both"/>
        <w:rPr>
          <w:rFonts w:asciiTheme="majorBidi" w:hAnsiTheme="majorBidi" w:cs="Times New Roman"/>
          <w:b/>
          <w:bCs/>
          <w:sz w:val="24"/>
          <w:szCs w:val="24"/>
          <w:shd w:val="clear" w:color="auto" w:fill="FFFFFF"/>
        </w:rPr>
      </w:pPr>
      <w:r w:rsidRPr="00006EB7">
        <w:rPr>
          <w:rFonts w:asciiTheme="majorBidi" w:hAnsiTheme="majorBidi" w:cs="Times New Roman"/>
          <w:sz w:val="24"/>
          <w:szCs w:val="24"/>
        </w:rPr>
        <w:t>Le seuil de signification a été fixé à 0,05</w:t>
      </w:r>
    </w:p>
    <w:p w:rsidR="00DC664D" w:rsidRDefault="00DC664D" w:rsidP="00DC664D"/>
    <w:p w:rsidR="00C50859" w:rsidRDefault="00C50859">
      <w:pPr>
        <w:rPr>
          <w:rFonts w:ascii="Century Schoolbook" w:hAnsi="Century Schoolbook"/>
        </w:rPr>
      </w:pPr>
    </w:p>
    <w:p w:rsidR="00C91FA9" w:rsidRDefault="00C50859" w:rsidP="00FA1DF3">
      <w:pPr>
        <w:spacing w:after="200" w:line="276" w:lineRule="auto"/>
        <w:rPr>
          <w:rFonts w:ascii="Century Schoolbook" w:hAnsi="Century Schoolbook"/>
        </w:rPr>
        <w:sectPr w:rsidR="00C91FA9" w:rsidSect="00FA1DF3">
          <w:headerReference w:type="default" r:id="rId55"/>
          <w:footerReference w:type="default" r:id="rId56"/>
          <w:pgSz w:w="11906" w:h="16838"/>
          <w:pgMar w:top="1134" w:right="1134" w:bottom="1134" w:left="1418" w:header="397" w:footer="680" w:gutter="0"/>
          <w:pgNumType w:start="33"/>
          <w:cols w:space="708"/>
          <w:docGrid w:linePitch="360"/>
        </w:sectPr>
      </w:pPr>
      <w:r>
        <w:rPr>
          <w:rFonts w:ascii="Century Schoolbook" w:hAnsi="Century Schoolbook"/>
        </w:rPr>
        <w:br w:type="page"/>
      </w:r>
    </w:p>
    <w:p w:rsidR="00C91FA9" w:rsidRDefault="00C91FA9" w:rsidP="00C91FA9">
      <w:pPr>
        <w:spacing w:after="200" w:line="276" w:lineRule="auto"/>
        <w:jc w:val="center"/>
        <w:rPr>
          <w:rFonts w:asciiTheme="majorBidi" w:hAnsiTheme="majorBidi" w:cstheme="majorBidi"/>
          <w:b/>
          <w:bCs/>
          <w:i/>
          <w:iCs/>
          <w:color w:val="7030A0"/>
          <w:sz w:val="72"/>
          <w:szCs w:val="72"/>
        </w:rPr>
      </w:pPr>
    </w:p>
    <w:p w:rsidR="00C91FA9" w:rsidRDefault="00C91FA9" w:rsidP="00C91FA9">
      <w:pPr>
        <w:spacing w:after="200" w:line="276" w:lineRule="auto"/>
        <w:jc w:val="center"/>
        <w:rPr>
          <w:rFonts w:asciiTheme="majorBidi" w:hAnsiTheme="majorBidi" w:cstheme="majorBidi"/>
          <w:b/>
          <w:bCs/>
          <w:i/>
          <w:iCs/>
          <w:color w:val="7030A0"/>
          <w:sz w:val="72"/>
          <w:szCs w:val="72"/>
        </w:rPr>
      </w:pPr>
    </w:p>
    <w:p w:rsidR="00C91FA9" w:rsidRDefault="00C91FA9" w:rsidP="00C91FA9">
      <w:pPr>
        <w:spacing w:after="200" w:line="276" w:lineRule="auto"/>
        <w:jc w:val="center"/>
        <w:rPr>
          <w:rFonts w:asciiTheme="majorBidi" w:hAnsiTheme="majorBidi" w:cstheme="majorBidi"/>
          <w:b/>
          <w:bCs/>
          <w:i/>
          <w:iCs/>
          <w:color w:val="7030A0"/>
          <w:sz w:val="72"/>
          <w:szCs w:val="72"/>
        </w:rPr>
      </w:pPr>
    </w:p>
    <w:p w:rsidR="00C91FA9" w:rsidRDefault="00C91FA9" w:rsidP="00C91FA9">
      <w:pPr>
        <w:spacing w:after="200" w:line="276" w:lineRule="auto"/>
        <w:jc w:val="center"/>
        <w:rPr>
          <w:rFonts w:asciiTheme="majorBidi" w:hAnsiTheme="majorBidi" w:cstheme="majorBidi"/>
          <w:b/>
          <w:bCs/>
          <w:i/>
          <w:iCs/>
          <w:color w:val="7030A0"/>
          <w:sz w:val="72"/>
          <w:szCs w:val="72"/>
        </w:rPr>
      </w:pPr>
    </w:p>
    <w:p w:rsidR="00C91FA9" w:rsidRPr="00C91FA9" w:rsidRDefault="00C91FA9" w:rsidP="00C91FA9">
      <w:pPr>
        <w:spacing w:after="200" w:line="276" w:lineRule="auto"/>
        <w:jc w:val="center"/>
        <w:rPr>
          <w:rFonts w:asciiTheme="majorBidi" w:hAnsiTheme="majorBidi" w:cstheme="majorBidi"/>
          <w:b/>
          <w:bCs/>
          <w:i/>
          <w:iCs/>
          <w:color w:val="7030A0"/>
          <w:sz w:val="72"/>
          <w:szCs w:val="72"/>
        </w:rPr>
        <w:sectPr w:rsidR="00C91FA9" w:rsidRPr="00C91FA9" w:rsidSect="00FA1DF3">
          <w:headerReference w:type="default" r:id="rId57"/>
          <w:footerReference w:type="default" r:id="rId58"/>
          <w:pgSz w:w="11906" w:h="16838"/>
          <w:pgMar w:top="1134" w:right="1134" w:bottom="1134" w:left="1418" w:header="397" w:footer="680" w:gutter="0"/>
          <w:pgNumType w:start="33"/>
          <w:cols w:space="708"/>
          <w:docGrid w:linePitch="360"/>
        </w:sectPr>
      </w:pPr>
      <w:r w:rsidRPr="00C91FA9">
        <w:rPr>
          <w:rFonts w:asciiTheme="majorBidi" w:hAnsiTheme="majorBidi" w:cstheme="majorBidi"/>
          <w:b/>
          <w:bCs/>
          <w:i/>
          <w:iCs/>
          <w:color w:val="7030A0"/>
          <w:sz w:val="72"/>
          <w:szCs w:val="72"/>
        </w:rPr>
        <w:t xml:space="preserve">Résultats </w:t>
      </w:r>
    </w:p>
    <w:p w:rsidR="00C91FA9" w:rsidRPr="00E54399" w:rsidRDefault="00C91FA9" w:rsidP="00E54399">
      <w:pPr>
        <w:pStyle w:val="Paragraphedeliste"/>
        <w:numPr>
          <w:ilvl w:val="0"/>
          <w:numId w:val="54"/>
        </w:numPr>
        <w:jc w:val="both"/>
        <w:rPr>
          <w:color w:val="7030A0"/>
          <w:sz w:val="28"/>
          <w:szCs w:val="28"/>
        </w:rPr>
      </w:pPr>
      <w:r w:rsidRPr="00E54399">
        <w:rPr>
          <w:rFonts w:ascii="Times New Roman" w:eastAsiaTheme="minorEastAsia" w:hAnsi="Times New Roman" w:cs="Times New Roman"/>
          <w:b/>
          <w:bCs/>
          <w:color w:val="7030A0"/>
          <w:sz w:val="28"/>
          <w:szCs w:val="28"/>
          <w:lang w:eastAsia="fr-FR"/>
        </w:rPr>
        <w:lastRenderedPageBreak/>
        <w:t xml:space="preserve">Les paramètres sociodémographiques et Biochimiques des patients atteints d’hépatite virale C et des témoins sains </w:t>
      </w:r>
    </w:p>
    <w:p w:rsidR="00C91FA9" w:rsidRPr="00381701" w:rsidRDefault="00C91FA9" w:rsidP="00C91FA9">
      <w:pPr>
        <w:pStyle w:val="Paragraphedeliste"/>
        <w:ind w:left="1080"/>
        <w:jc w:val="both"/>
        <w:rPr>
          <w:color w:val="7030A0"/>
          <w:sz w:val="28"/>
          <w:szCs w:val="28"/>
        </w:rPr>
      </w:pPr>
    </w:p>
    <w:p w:rsidR="00C91FA9" w:rsidRDefault="00ED3E57" w:rsidP="00ED3E57">
      <w:pPr>
        <w:pStyle w:val="Paragraphedeliste"/>
        <w:spacing w:line="360" w:lineRule="auto"/>
        <w:ind w:left="0" w:firstLine="284"/>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        </w:t>
      </w:r>
      <w:r w:rsidR="00C91FA9" w:rsidRPr="000762D6">
        <w:rPr>
          <w:rFonts w:asciiTheme="majorBidi" w:hAnsiTheme="majorBidi" w:cstheme="majorBidi"/>
          <w:color w:val="000000" w:themeColor="text1"/>
          <w:sz w:val="24"/>
          <w:szCs w:val="24"/>
          <w:shd w:val="clear" w:color="auto" w:fill="FFFFFF"/>
        </w:rPr>
        <w:t xml:space="preserve">Notre </w:t>
      </w:r>
      <w:r w:rsidR="00C91FA9">
        <w:rPr>
          <w:rFonts w:asciiTheme="majorBidi" w:hAnsiTheme="majorBidi" w:cstheme="majorBidi"/>
          <w:color w:val="000000" w:themeColor="text1"/>
          <w:sz w:val="24"/>
          <w:szCs w:val="24"/>
          <w:shd w:val="clear" w:color="auto" w:fill="FFFFFF"/>
        </w:rPr>
        <w:t xml:space="preserve">travail consiste, essentiellement, à comparer le profil lipidique d’un groupe porteur d’hépatite C chronique  à celui d’un groupe témoin sain. </w:t>
      </w:r>
    </w:p>
    <w:p w:rsidR="00C91FA9" w:rsidRPr="00E54399" w:rsidRDefault="00C91FA9" w:rsidP="00E54399">
      <w:pPr>
        <w:pStyle w:val="Paragraphedeliste"/>
        <w:numPr>
          <w:ilvl w:val="1"/>
          <w:numId w:val="54"/>
        </w:numPr>
        <w:spacing w:line="360" w:lineRule="auto"/>
        <w:jc w:val="both"/>
        <w:rPr>
          <w:rFonts w:asciiTheme="majorBidi" w:eastAsiaTheme="minorEastAsia" w:hAnsiTheme="majorBidi" w:cstheme="majorBidi"/>
          <w:b/>
          <w:bCs/>
          <w:color w:val="7030A0"/>
          <w:sz w:val="28"/>
          <w:szCs w:val="28"/>
          <w:lang w:eastAsia="fr-FR"/>
        </w:rPr>
      </w:pPr>
      <w:r w:rsidRPr="00E54399">
        <w:rPr>
          <w:rFonts w:asciiTheme="majorBidi" w:eastAsiaTheme="minorEastAsia" w:hAnsiTheme="majorBidi" w:cstheme="majorBidi"/>
          <w:b/>
          <w:bCs/>
          <w:color w:val="7030A0"/>
          <w:sz w:val="28"/>
          <w:szCs w:val="28"/>
          <w:lang w:eastAsia="fr-FR"/>
        </w:rPr>
        <w:t>Répartition des malades selon  le sexe</w:t>
      </w:r>
    </w:p>
    <w:p w:rsidR="00C91FA9" w:rsidRPr="0056031B" w:rsidRDefault="00C91FA9" w:rsidP="00C91FA9">
      <w:pPr>
        <w:spacing w:line="360" w:lineRule="auto"/>
        <w:ind w:left="142" w:firstLine="566"/>
        <w:jc w:val="both"/>
        <w:rPr>
          <w:rFonts w:asciiTheme="majorBidi" w:eastAsiaTheme="minorEastAsia" w:hAnsiTheme="majorBidi" w:cstheme="majorBidi"/>
          <w:b/>
          <w:bCs/>
          <w:color w:val="7030A0"/>
          <w:sz w:val="28"/>
          <w:szCs w:val="28"/>
          <w:lang w:eastAsia="fr-FR"/>
        </w:rPr>
      </w:pPr>
      <w:r w:rsidRPr="0056031B">
        <w:rPr>
          <w:rFonts w:asciiTheme="majorBidi" w:hAnsiTheme="majorBidi" w:cstheme="majorBidi"/>
          <w:color w:val="000000" w:themeColor="text1"/>
          <w:sz w:val="24"/>
          <w:szCs w:val="24"/>
          <w:shd w:val="clear" w:color="auto" w:fill="FFFFFF"/>
        </w:rPr>
        <w:t xml:space="preserve">La répartition des patients selon le sexe </w:t>
      </w:r>
      <w:r w:rsidRPr="00E91C50">
        <w:rPr>
          <w:rFonts w:asciiTheme="majorBidi" w:hAnsiTheme="majorBidi" w:cstheme="majorBidi"/>
          <w:b/>
          <w:bCs/>
          <w:color w:val="000000" w:themeColor="text1"/>
          <w:sz w:val="24"/>
          <w:szCs w:val="24"/>
          <w:shd w:val="clear" w:color="auto" w:fill="FFFFFF"/>
        </w:rPr>
        <w:t>(figure III.1</w:t>
      </w:r>
      <w:r w:rsidR="00ED3E57">
        <w:rPr>
          <w:rFonts w:asciiTheme="majorBidi" w:hAnsiTheme="majorBidi" w:cstheme="majorBidi"/>
          <w:b/>
          <w:bCs/>
          <w:color w:val="000000" w:themeColor="text1"/>
          <w:sz w:val="24"/>
          <w:szCs w:val="24"/>
          <w:shd w:val="clear" w:color="auto" w:fill="FFFFFF"/>
        </w:rPr>
        <w:t xml:space="preserve"> </w:t>
      </w:r>
      <w:r w:rsidRPr="00E91C50">
        <w:rPr>
          <w:rFonts w:asciiTheme="majorBidi" w:hAnsiTheme="majorBidi" w:cstheme="majorBidi"/>
          <w:b/>
          <w:bCs/>
          <w:color w:val="000000" w:themeColor="text1"/>
          <w:sz w:val="24"/>
          <w:szCs w:val="24"/>
          <w:shd w:val="clear" w:color="auto" w:fill="FFFFFF"/>
        </w:rPr>
        <w:t>)</w:t>
      </w:r>
      <w:r w:rsidRPr="0056031B">
        <w:rPr>
          <w:rFonts w:asciiTheme="majorBidi" w:hAnsiTheme="majorBidi" w:cstheme="majorBidi"/>
          <w:color w:val="000000" w:themeColor="text1"/>
          <w:sz w:val="24"/>
          <w:szCs w:val="24"/>
          <w:shd w:val="clear" w:color="auto" w:fill="FFFFFF"/>
        </w:rPr>
        <w:t>montre une prédominance féminine avec 69 % de  femmes et  31% d’hommes chez les malades atteins du VHC</w:t>
      </w:r>
      <w:r>
        <w:rPr>
          <w:rFonts w:asciiTheme="majorBidi" w:hAnsiTheme="majorBidi" w:cstheme="majorBidi"/>
          <w:color w:val="000000" w:themeColor="text1"/>
          <w:sz w:val="24"/>
          <w:szCs w:val="24"/>
          <w:shd w:val="clear" w:color="auto" w:fill="FFFFFF"/>
        </w:rPr>
        <w:t xml:space="preserve"> avec un sexe ratio de 2.20 en faveur du sexe féminin.</w:t>
      </w:r>
    </w:p>
    <w:p w:rsidR="00C91FA9" w:rsidRDefault="00C91FA9" w:rsidP="00C91FA9">
      <w:pPr>
        <w:jc w:val="center"/>
      </w:pPr>
      <w:r>
        <w:rPr>
          <w:noProof/>
          <w:lang w:eastAsia="fr-FR"/>
        </w:rPr>
        <w:drawing>
          <wp:inline distT="0" distB="0" distL="0" distR="0">
            <wp:extent cx="4702810" cy="2612390"/>
            <wp:effectExtent l="0" t="0" r="0" b="0"/>
            <wp:docPr id="55"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91FA9" w:rsidRDefault="00C91FA9" w:rsidP="00C91FA9">
      <w:pPr>
        <w:keepNext/>
        <w:keepLines/>
        <w:spacing w:before="200" w:after="0" w:line="360" w:lineRule="auto"/>
        <w:jc w:val="center"/>
        <w:outlineLvl w:val="1"/>
        <w:rPr>
          <w:rFonts w:asciiTheme="majorBidi" w:hAnsiTheme="majorBidi" w:cstheme="majorBidi"/>
          <w:bCs/>
          <w:sz w:val="24"/>
          <w:szCs w:val="24"/>
        </w:rPr>
      </w:pPr>
      <w:r w:rsidRPr="000B18E1">
        <w:rPr>
          <w:rFonts w:asciiTheme="majorBidi" w:hAnsiTheme="majorBidi" w:cstheme="majorBidi"/>
          <w:b/>
          <w:sz w:val="24"/>
          <w:szCs w:val="24"/>
        </w:rPr>
        <w:t>Figure</w:t>
      </w:r>
      <w:r>
        <w:rPr>
          <w:rFonts w:asciiTheme="majorBidi" w:hAnsiTheme="majorBidi" w:cstheme="majorBidi"/>
          <w:b/>
          <w:sz w:val="24"/>
          <w:szCs w:val="24"/>
        </w:rPr>
        <w:t xml:space="preserve"> III</w:t>
      </w:r>
      <w:r w:rsidRPr="000B18E1">
        <w:rPr>
          <w:rFonts w:asciiTheme="majorBidi" w:hAnsiTheme="majorBidi" w:cstheme="majorBidi"/>
          <w:b/>
          <w:sz w:val="24"/>
          <w:szCs w:val="24"/>
        </w:rPr>
        <w:t>.</w:t>
      </w:r>
      <w:r>
        <w:rPr>
          <w:rFonts w:asciiTheme="majorBidi" w:hAnsiTheme="majorBidi" w:cstheme="majorBidi"/>
          <w:b/>
          <w:sz w:val="24"/>
          <w:szCs w:val="24"/>
        </w:rPr>
        <w:t>1.</w:t>
      </w:r>
      <w:r w:rsidRPr="006A36FD">
        <w:rPr>
          <w:rFonts w:asciiTheme="majorBidi" w:hAnsiTheme="majorBidi" w:cstheme="majorBidi"/>
          <w:bCs/>
          <w:sz w:val="24"/>
          <w:szCs w:val="24"/>
        </w:rPr>
        <w:t>Répartition des malades atteints d’hépatite chronique C selon le sexe.</w:t>
      </w:r>
    </w:p>
    <w:p w:rsidR="00C91FA9" w:rsidRPr="003029FF" w:rsidRDefault="00C91FA9" w:rsidP="00C91FA9">
      <w:pPr>
        <w:keepNext/>
        <w:keepLines/>
        <w:spacing w:before="200" w:after="0" w:line="360" w:lineRule="auto"/>
        <w:jc w:val="both"/>
        <w:outlineLvl w:val="1"/>
        <w:rPr>
          <w:rFonts w:asciiTheme="majorBidi" w:hAnsiTheme="majorBidi" w:cstheme="majorBidi"/>
          <w:b/>
          <w:color w:val="7030A0"/>
          <w:sz w:val="24"/>
          <w:szCs w:val="24"/>
        </w:rPr>
      </w:pPr>
    </w:p>
    <w:p w:rsidR="00C91FA9" w:rsidRPr="00E54399" w:rsidRDefault="00C91FA9" w:rsidP="00E54399">
      <w:pPr>
        <w:pStyle w:val="Paragraphedeliste"/>
        <w:numPr>
          <w:ilvl w:val="1"/>
          <w:numId w:val="54"/>
        </w:numPr>
        <w:spacing w:line="360" w:lineRule="auto"/>
        <w:jc w:val="both"/>
        <w:rPr>
          <w:rFonts w:asciiTheme="majorBidi" w:eastAsiaTheme="minorEastAsia" w:hAnsiTheme="majorBidi" w:cstheme="majorBidi"/>
          <w:b/>
          <w:bCs/>
          <w:color w:val="7030A0"/>
          <w:sz w:val="28"/>
          <w:szCs w:val="28"/>
          <w:lang w:eastAsia="fr-FR"/>
        </w:rPr>
      </w:pPr>
      <w:r w:rsidRPr="00E54399">
        <w:rPr>
          <w:rFonts w:asciiTheme="majorBidi" w:eastAsiaTheme="minorEastAsia" w:hAnsiTheme="majorBidi" w:cstheme="majorBidi"/>
          <w:b/>
          <w:bCs/>
          <w:color w:val="7030A0"/>
          <w:sz w:val="28"/>
          <w:szCs w:val="28"/>
          <w:lang w:eastAsia="fr-FR"/>
        </w:rPr>
        <w:t xml:space="preserve">Répartition des malades selon l’âge </w:t>
      </w:r>
    </w:p>
    <w:p w:rsidR="00C91FA9" w:rsidRPr="00F5160F" w:rsidRDefault="004E2073" w:rsidP="00C91FA9">
      <w:pPr>
        <w:spacing w:line="360" w:lineRule="auto"/>
        <w:ind w:left="142"/>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ab/>
      </w:r>
      <w:r w:rsidR="00C91FA9" w:rsidRPr="00F5160F">
        <w:rPr>
          <w:rFonts w:asciiTheme="majorBidi" w:eastAsiaTheme="minorEastAsia" w:hAnsiTheme="majorBidi" w:cstheme="majorBidi"/>
          <w:sz w:val="24"/>
          <w:szCs w:val="24"/>
          <w:lang w:eastAsia="fr-FR"/>
        </w:rPr>
        <w:t>Les patients ont été classé</w:t>
      </w:r>
      <w:r w:rsidR="00C91FA9">
        <w:rPr>
          <w:rFonts w:asciiTheme="majorBidi" w:eastAsiaTheme="minorEastAsia" w:hAnsiTheme="majorBidi" w:cstheme="majorBidi"/>
          <w:sz w:val="24"/>
          <w:szCs w:val="24"/>
          <w:lang w:eastAsia="fr-FR"/>
        </w:rPr>
        <w:t>s</w:t>
      </w:r>
      <w:r w:rsidR="00C91FA9" w:rsidRPr="00F5160F">
        <w:rPr>
          <w:rFonts w:asciiTheme="majorBidi" w:eastAsiaTheme="minorEastAsia" w:hAnsiTheme="majorBidi" w:cstheme="majorBidi"/>
          <w:sz w:val="24"/>
          <w:szCs w:val="24"/>
          <w:lang w:eastAsia="fr-FR"/>
        </w:rPr>
        <w:t xml:space="preserve"> selon leur âge en trois tranches ; inférieur à 40 ans, entre 40 et 59 ans et supérieur ou égal 60 ans</w:t>
      </w:r>
      <w:r w:rsidR="00ED3E57">
        <w:rPr>
          <w:rFonts w:asciiTheme="majorBidi" w:eastAsiaTheme="minorEastAsia" w:hAnsiTheme="majorBidi" w:cstheme="majorBidi"/>
          <w:sz w:val="24"/>
          <w:szCs w:val="24"/>
          <w:lang w:eastAsia="fr-FR"/>
        </w:rPr>
        <w:t xml:space="preserve"> </w:t>
      </w:r>
      <w:r w:rsidR="00C91FA9" w:rsidRPr="00F5160F">
        <w:rPr>
          <w:rFonts w:asciiTheme="majorBidi" w:eastAsiaTheme="minorEastAsia" w:hAnsiTheme="majorBidi" w:cstheme="majorBidi"/>
          <w:b/>
          <w:bCs/>
          <w:sz w:val="24"/>
          <w:szCs w:val="24"/>
          <w:lang w:eastAsia="fr-FR"/>
        </w:rPr>
        <w:t>(Figure III.2).</w:t>
      </w:r>
    </w:p>
    <w:p w:rsidR="00C91FA9" w:rsidRDefault="00C91FA9" w:rsidP="00C91FA9">
      <w:pPr>
        <w:spacing w:line="360" w:lineRule="auto"/>
        <w:ind w:left="296" w:firstLine="566"/>
      </w:pPr>
      <w:r>
        <w:rPr>
          <w:noProof/>
          <w:lang w:eastAsia="fr-FR"/>
        </w:rPr>
        <w:lastRenderedPageBreak/>
        <w:drawing>
          <wp:inline distT="0" distB="0" distL="0" distR="0">
            <wp:extent cx="5044440" cy="2622550"/>
            <wp:effectExtent l="0" t="0" r="0" b="0"/>
            <wp:docPr id="56"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91FA9" w:rsidRPr="00235BB9" w:rsidRDefault="00C91FA9" w:rsidP="00C91FA9">
      <w:pPr>
        <w:pStyle w:val="Paragraphedeliste"/>
        <w:tabs>
          <w:tab w:val="left" w:pos="2054"/>
        </w:tabs>
        <w:jc w:val="center"/>
        <w:rPr>
          <w:rFonts w:asciiTheme="majorBidi" w:hAnsiTheme="majorBidi" w:cstheme="majorBidi"/>
          <w:bCs/>
          <w:sz w:val="24"/>
          <w:szCs w:val="24"/>
        </w:rPr>
      </w:pPr>
      <w:r w:rsidRPr="00476B16">
        <w:rPr>
          <w:rFonts w:asciiTheme="majorBidi" w:hAnsiTheme="majorBidi" w:cstheme="majorBidi"/>
          <w:b/>
          <w:sz w:val="24"/>
          <w:szCs w:val="24"/>
        </w:rPr>
        <w:t>Figure</w:t>
      </w:r>
      <w:r>
        <w:rPr>
          <w:rFonts w:asciiTheme="majorBidi" w:hAnsiTheme="majorBidi" w:cstheme="majorBidi"/>
          <w:b/>
          <w:sz w:val="24"/>
          <w:szCs w:val="24"/>
        </w:rPr>
        <w:t xml:space="preserve"> III.2. </w:t>
      </w:r>
      <w:r w:rsidRPr="006A36FD">
        <w:rPr>
          <w:rFonts w:asciiTheme="majorBidi" w:hAnsiTheme="majorBidi" w:cstheme="majorBidi"/>
          <w:bCs/>
          <w:sz w:val="24"/>
          <w:szCs w:val="24"/>
        </w:rPr>
        <w:t>Répartition des malades atteints d’hépatite chronique C selon l’âge</w:t>
      </w:r>
    </w:p>
    <w:p w:rsidR="00C91FA9" w:rsidRDefault="00C91FA9" w:rsidP="00C91FA9">
      <w:pPr>
        <w:pStyle w:val="Paragraphedeliste"/>
        <w:spacing w:line="360" w:lineRule="auto"/>
        <w:ind w:left="0"/>
        <w:jc w:val="both"/>
        <w:rPr>
          <w:rFonts w:asciiTheme="majorBidi" w:hAnsiTheme="majorBidi" w:cstheme="majorBidi"/>
          <w:color w:val="000000" w:themeColor="text1"/>
          <w:sz w:val="24"/>
          <w:szCs w:val="24"/>
          <w:shd w:val="clear" w:color="auto" w:fill="FFFFFF"/>
        </w:rPr>
      </w:pPr>
    </w:p>
    <w:p w:rsidR="00C91FA9" w:rsidRDefault="004E2073" w:rsidP="00C91FA9">
      <w:pPr>
        <w:pStyle w:val="Paragraphedeliste"/>
        <w:spacing w:line="360" w:lineRule="auto"/>
        <w:ind w:left="0"/>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ab/>
      </w:r>
      <w:r w:rsidR="00C91FA9">
        <w:rPr>
          <w:rFonts w:asciiTheme="majorBidi" w:hAnsiTheme="majorBidi" w:cstheme="majorBidi"/>
          <w:color w:val="000000" w:themeColor="text1"/>
          <w:sz w:val="24"/>
          <w:szCs w:val="24"/>
          <w:shd w:val="clear" w:color="auto" w:fill="FFFFFF"/>
        </w:rPr>
        <w:t xml:space="preserve">En ce qui concerne les 100 malades atteints du VHC, la tranche d’âge la plus touchée et celle entre 40 et 59 ans avec un pourcentage de 49%,  suivie par la tranche d’âge </w:t>
      </w:r>
      <w:r w:rsidR="00C91FA9" w:rsidRPr="009D4CEF">
        <w:rPr>
          <w:rFonts w:asciiTheme="majorBidi" w:hAnsiTheme="majorBidi" w:cstheme="majorBidi"/>
          <w:color w:val="000000" w:themeColor="text1"/>
          <w:sz w:val="24"/>
          <w:szCs w:val="24"/>
          <w:shd w:val="clear" w:color="auto" w:fill="FFFFFF"/>
        </w:rPr>
        <w:t>≥</w:t>
      </w:r>
      <w:r w:rsidR="00C91FA9">
        <w:rPr>
          <w:rFonts w:asciiTheme="majorBidi" w:hAnsiTheme="majorBidi" w:cstheme="majorBidi"/>
          <w:color w:val="000000" w:themeColor="text1"/>
          <w:sz w:val="24"/>
          <w:szCs w:val="24"/>
          <w:shd w:val="clear" w:color="auto" w:fill="FFFFFF"/>
        </w:rPr>
        <w:t>60 ans (39%). La tranche d’âge la moins touchée et celle inférieure à 40 ans (12%).</w:t>
      </w:r>
    </w:p>
    <w:p w:rsidR="00C91FA9" w:rsidRDefault="00C91FA9" w:rsidP="00C91FA9">
      <w:pPr>
        <w:pStyle w:val="Paragraphedeliste"/>
        <w:spacing w:line="360" w:lineRule="auto"/>
        <w:ind w:left="0"/>
        <w:jc w:val="both"/>
        <w:rPr>
          <w:rFonts w:asciiTheme="majorBidi" w:hAnsiTheme="majorBidi" w:cstheme="majorBidi"/>
          <w:color w:val="000000" w:themeColor="text1"/>
          <w:sz w:val="24"/>
          <w:szCs w:val="24"/>
          <w:shd w:val="clear" w:color="auto" w:fill="FFFFFF"/>
        </w:rPr>
      </w:pPr>
    </w:p>
    <w:p w:rsidR="00C91FA9" w:rsidRPr="00E54399" w:rsidRDefault="00C91FA9" w:rsidP="00E54399">
      <w:pPr>
        <w:pStyle w:val="Paragraphedeliste"/>
        <w:numPr>
          <w:ilvl w:val="1"/>
          <w:numId w:val="54"/>
        </w:numPr>
        <w:spacing w:line="360" w:lineRule="auto"/>
        <w:jc w:val="both"/>
        <w:rPr>
          <w:rFonts w:asciiTheme="majorBidi" w:eastAsiaTheme="minorEastAsia" w:hAnsiTheme="majorBidi" w:cstheme="majorBidi"/>
          <w:b/>
          <w:bCs/>
          <w:color w:val="7030A0"/>
          <w:sz w:val="28"/>
          <w:szCs w:val="28"/>
          <w:lang w:eastAsia="fr-FR"/>
        </w:rPr>
      </w:pPr>
      <w:r w:rsidRPr="00E54399">
        <w:rPr>
          <w:rFonts w:asciiTheme="majorBidi" w:eastAsiaTheme="minorEastAsia" w:hAnsiTheme="majorBidi" w:cstheme="majorBidi"/>
          <w:b/>
          <w:bCs/>
          <w:color w:val="7030A0"/>
          <w:sz w:val="28"/>
          <w:szCs w:val="28"/>
          <w:lang w:eastAsia="fr-FR"/>
        </w:rPr>
        <w:t>Répartition des malades et des témoins en fonction de l’Index de Masse Corporelle  (IMC)</w:t>
      </w:r>
    </w:p>
    <w:p w:rsidR="00C91FA9" w:rsidRPr="00EE4564" w:rsidRDefault="00C91FA9" w:rsidP="00ED3E57">
      <w:pPr>
        <w:spacing w:line="360" w:lineRule="auto"/>
        <w:ind w:firstLine="708"/>
        <w:jc w:val="both"/>
        <w:rPr>
          <w:rFonts w:asciiTheme="majorBidi" w:eastAsiaTheme="minorEastAsia" w:hAnsiTheme="majorBidi" w:cstheme="majorBidi"/>
          <w:b/>
          <w:bCs/>
          <w:sz w:val="24"/>
          <w:szCs w:val="24"/>
          <w:lang w:eastAsia="fr-FR"/>
        </w:rPr>
      </w:pPr>
      <w:r w:rsidRPr="00EE4564">
        <w:rPr>
          <w:rFonts w:asciiTheme="majorBidi" w:eastAsiaTheme="minorEastAsia" w:hAnsiTheme="majorBidi" w:cstheme="majorBidi"/>
          <w:sz w:val="24"/>
          <w:szCs w:val="24"/>
          <w:lang w:eastAsia="fr-FR"/>
        </w:rPr>
        <w:t xml:space="preserve">Le tableau </w:t>
      </w:r>
      <w:r>
        <w:rPr>
          <w:rFonts w:asciiTheme="majorBidi" w:eastAsiaTheme="minorEastAsia" w:hAnsiTheme="majorBidi" w:cstheme="majorBidi"/>
          <w:sz w:val="24"/>
          <w:szCs w:val="24"/>
          <w:lang w:eastAsia="fr-FR"/>
        </w:rPr>
        <w:t>c</w:t>
      </w:r>
      <w:r w:rsidRPr="00EE4564">
        <w:rPr>
          <w:rFonts w:asciiTheme="majorBidi" w:eastAsiaTheme="minorEastAsia" w:hAnsiTheme="majorBidi" w:cstheme="majorBidi"/>
          <w:sz w:val="24"/>
          <w:szCs w:val="24"/>
          <w:lang w:eastAsia="fr-FR"/>
        </w:rPr>
        <w:t>i</w:t>
      </w:r>
      <w:r>
        <w:rPr>
          <w:rFonts w:asciiTheme="majorBidi" w:eastAsiaTheme="minorEastAsia" w:hAnsiTheme="majorBidi" w:cstheme="majorBidi"/>
          <w:sz w:val="24"/>
          <w:szCs w:val="24"/>
          <w:lang w:eastAsia="fr-FR"/>
        </w:rPr>
        <w:t>-</w:t>
      </w:r>
      <w:r w:rsidRPr="00EE4564">
        <w:rPr>
          <w:rFonts w:asciiTheme="majorBidi" w:eastAsiaTheme="minorEastAsia" w:hAnsiTheme="majorBidi" w:cstheme="majorBidi"/>
          <w:sz w:val="24"/>
          <w:szCs w:val="24"/>
          <w:lang w:eastAsia="fr-FR"/>
        </w:rPr>
        <w:t>dessous représente la distribution des patients atteints de l’hépatite C avec les témoins sains</w:t>
      </w:r>
      <w:r>
        <w:rPr>
          <w:rFonts w:asciiTheme="majorBidi" w:eastAsiaTheme="minorEastAsia" w:hAnsiTheme="majorBidi" w:cstheme="majorBidi"/>
          <w:sz w:val="24"/>
          <w:szCs w:val="24"/>
          <w:lang w:eastAsia="fr-FR"/>
        </w:rPr>
        <w:t> selon leur IMC</w:t>
      </w:r>
      <w:r>
        <w:rPr>
          <w:rFonts w:asciiTheme="majorBidi" w:eastAsiaTheme="minorEastAsia" w:hAnsiTheme="majorBidi" w:cstheme="majorBidi"/>
          <w:b/>
          <w:bCs/>
          <w:sz w:val="24"/>
          <w:szCs w:val="24"/>
          <w:lang w:eastAsia="fr-FR"/>
        </w:rPr>
        <w:t>:</w:t>
      </w:r>
    </w:p>
    <w:p w:rsidR="00C91FA9" w:rsidRPr="006A36FD" w:rsidRDefault="00C91FA9" w:rsidP="00C91FA9">
      <w:pPr>
        <w:spacing w:line="360" w:lineRule="auto"/>
        <w:jc w:val="center"/>
        <w:rPr>
          <w:rFonts w:ascii="Times New Roman" w:eastAsiaTheme="minorEastAsia" w:hAnsi="Times New Roman" w:cs="Times New Roman"/>
          <w:sz w:val="24"/>
          <w:szCs w:val="24"/>
          <w:lang w:eastAsia="fr-FR"/>
        </w:rPr>
      </w:pPr>
      <w:r w:rsidRPr="00975DE5">
        <w:rPr>
          <w:rFonts w:ascii="Times New Roman" w:eastAsiaTheme="minorEastAsia" w:hAnsi="Times New Roman" w:cs="Times New Roman"/>
          <w:b/>
          <w:bCs/>
          <w:sz w:val="24"/>
          <w:szCs w:val="24"/>
          <w:lang w:eastAsia="fr-FR"/>
        </w:rPr>
        <w:t>Tableau III.</w:t>
      </w:r>
      <w:r>
        <w:rPr>
          <w:rFonts w:ascii="Times New Roman" w:eastAsiaTheme="minorEastAsia" w:hAnsi="Times New Roman" w:cs="Times New Roman"/>
          <w:b/>
          <w:bCs/>
          <w:sz w:val="24"/>
          <w:szCs w:val="24"/>
          <w:lang w:eastAsia="fr-FR"/>
        </w:rPr>
        <w:t>1</w:t>
      </w:r>
      <w:r w:rsidRPr="00975DE5">
        <w:rPr>
          <w:rFonts w:ascii="Times New Roman" w:eastAsiaTheme="minorEastAsia" w:hAnsi="Times New Roman" w:cs="Times New Roman"/>
          <w:b/>
          <w:bCs/>
          <w:sz w:val="24"/>
          <w:szCs w:val="24"/>
          <w:lang w:eastAsia="fr-FR"/>
        </w:rPr>
        <w:t xml:space="preserve">. </w:t>
      </w:r>
      <w:r w:rsidRPr="006A36FD">
        <w:rPr>
          <w:rFonts w:ascii="Times New Roman" w:eastAsiaTheme="minorEastAsia" w:hAnsi="Times New Roman" w:cs="Times New Roman"/>
          <w:sz w:val="24"/>
          <w:szCs w:val="24"/>
          <w:lang w:eastAsia="fr-FR"/>
        </w:rPr>
        <w:t>Répartition des malades et des témoins en fonction de l’IMC</w:t>
      </w:r>
    </w:p>
    <w:tbl>
      <w:tblPr>
        <w:tblStyle w:val="Grilledutableau"/>
        <w:tblW w:w="8755" w:type="dxa"/>
        <w:jc w:val="center"/>
        <w:tblLook w:val="04A0"/>
      </w:tblPr>
      <w:tblGrid>
        <w:gridCol w:w="3227"/>
        <w:gridCol w:w="1559"/>
        <w:gridCol w:w="1701"/>
        <w:gridCol w:w="18"/>
        <w:gridCol w:w="1116"/>
        <w:gridCol w:w="1134"/>
      </w:tblGrid>
      <w:tr w:rsidR="00C91FA9" w:rsidRPr="00E721E8" w:rsidTr="00ED3E57">
        <w:trPr>
          <w:trHeight w:val="397"/>
          <w:jc w:val="center"/>
        </w:trPr>
        <w:tc>
          <w:tcPr>
            <w:tcW w:w="3227" w:type="dxa"/>
            <w:tcBorders>
              <w:top w:val="single" w:sz="18" w:space="0" w:color="7030A0"/>
              <w:left w:val="single" w:sz="18" w:space="0" w:color="7030A0"/>
              <w:bottom w:val="single" w:sz="18" w:space="0" w:color="7030A0"/>
              <w:right w:val="single" w:sz="18" w:space="0" w:color="7030A0"/>
            </w:tcBorders>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Statut</w:t>
            </w:r>
          </w:p>
        </w:tc>
        <w:tc>
          <w:tcPr>
            <w:tcW w:w="1559" w:type="dxa"/>
            <w:tcBorders>
              <w:top w:val="single" w:sz="18" w:space="0" w:color="7030A0"/>
              <w:left w:val="single" w:sz="18" w:space="0" w:color="7030A0"/>
              <w:bottom w:val="single" w:sz="18" w:space="0" w:color="7030A0"/>
              <w:right w:val="single" w:sz="18" w:space="0" w:color="7030A0"/>
            </w:tcBorders>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Témoin</w:t>
            </w:r>
            <w:r>
              <w:rPr>
                <w:rFonts w:asciiTheme="majorBidi" w:hAnsiTheme="majorBidi" w:cstheme="majorBidi"/>
                <w:sz w:val="24"/>
                <w:szCs w:val="24"/>
                <w:shd w:val="clear" w:color="auto" w:fill="FFFFFF"/>
              </w:rPr>
              <w:t xml:space="preserve"> %</w:t>
            </w:r>
          </w:p>
        </w:tc>
        <w:tc>
          <w:tcPr>
            <w:tcW w:w="1719" w:type="dxa"/>
            <w:gridSpan w:val="2"/>
            <w:tcBorders>
              <w:top w:val="single" w:sz="18" w:space="0" w:color="7030A0"/>
              <w:left w:val="single" w:sz="18" w:space="0" w:color="7030A0"/>
              <w:right w:val="single" w:sz="18" w:space="0" w:color="7030A0"/>
            </w:tcBorders>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Echantillon</w:t>
            </w:r>
            <w:r>
              <w:rPr>
                <w:rFonts w:asciiTheme="majorBidi" w:hAnsiTheme="majorBidi" w:cstheme="majorBidi"/>
                <w:sz w:val="24"/>
                <w:szCs w:val="24"/>
                <w:shd w:val="clear" w:color="auto" w:fill="FFFFFF"/>
              </w:rPr>
              <w:t xml:space="preserve"> %</w:t>
            </w:r>
          </w:p>
        </w:tc>
        <w:tc>
          <w:tcPr>
            <w:tcW w:w="1116" w:type="dxa"/>
            <w:tcBorders>
              <w:top w:val="single" w:sz="18" w:space="0" w:color="7030A0"/>
              <w:left w:val="single" w:sz="18" w:space="0" w:color="7030A0"/>
              <w:bottom w:val="single" w:sz="18" w:space="0" w:color="7030A0"/>
              <w:right w:val="single" w:sz="18" w:space="0" w:color="7030A0"/>
            </w:tcBorders>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χ2</w:t>
            </w:r>
          </w:p>
        </w:tc>
        <w:tc>
          <w:tcPr>
            <w:tcW w:w="1134" w:type="dxa"/>
            <w:tcBorders>
              <w:top w:val="single" w:sz="18" w:space="0" w:color="7030A0"/>
              <w:left w:val="single" w:sz="18" w:space="0" w:color="7030A0"/>
              <w:bottom w:val="single" w:sz="18" w:space="0" w:color="7030A0"/>
              <w:right w:val="single" w:sz="18" w:space="0" w:color="7030A0"/>
            </w:tcBorders>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P</w:t>
            </w:r>
          </w:p>
        </w:tc>
      </w:tr>
      <w:tr w:rsidR="00C91FA9" w:rsidRPr="00303677" w:rsidTr="00C91FA9">
        <w:trPr>
          <w:trHeight w:val="397"/>
          <w:jc w:val="center"/>
        </w:trPr>
        <w:tc>
          <w:tcPr>
            <w:tcW w:w="3227" w:type="dxa"/>
            <w:tcBorders>
              <w:top w:val="single" w:sz="18" w:space="0" w:color="7030A0"/>
              <w:left w:val="single" w:sz="18" w:space="0" w:color="7030A0"/>
              <w:bottom w:val="single" w:sz="18" w:space="0" w:color="7030A0"/>
              <w:right w:val="single" w:sz="18" w:space="0" w:color="7030A0"/>
            </w:tcBorders>
          </w:tcPr>
          <w:p w:rsidR="00C91FA9" w:rsidRPr="00E721E8" w:rsidRDefault="00C91FA9" w:rsidP="00C91FA9">
            <w:pPr>
              <w:spacing w:line="360" w:lineRule="auto"/>
              <w:jc w:val="both"/>
              <w:rPr>
                <w:rFonts w:asciiTheme="majorBidi" w:hAnsiTheme="majorBidi" w:cstheme="majorBidi"/>
                <w:sz w:val="24"/>
                <w:szCs w:val="24"/>
              </w:rPr>
            </w:pPr>
            <w:r w:rsidRPr="00E721E8">
              <w:rPr>
                <w:rFonts w:asciiTheme="majorBidi" w:hAnsiTheme="majorBidi" w:cstheme="majorBidi"/>
                <w:sz w:val="24"/>
                <w:szCs w:val="24"/>
              </w:rPr>
              <w:t>IMC</w:t>
            </w:r>
          </w:p>
        </w:tc>
        <w:tc>
          <w:tcPr>
            <w:tcW w:w="1559"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c>
          <w:tcPr>
            <w:tcW w:w="1701"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c>
          <w:tcPr>
            <w:tcW w:w="1134" w:type="dxa"/>
            <w:gridSpan w:val="2"/>
            <w:tcBorders>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21,018</w:t>
            </w:r>
          </w:p>
        </w:tc>
        <w:tc>
          <w:tcPr>
            <w:tcW w:w="1134"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0,000</w:t>
            </w:r>
          </w:p>
        </w:tc>
      </w:tr>
      <w:tr w:rsidR="00C91FA9" w:rsidRPr="00303677" w:rsidTr="00ED3E57">
        <w:trPr>
          <w:trHeight w:val="397"/>
          <w:jc w:val="center"/>
        </w:trPr>
        <w:tc>
          <w:tcPr>
            <w:tcW w:w="3227" w:type="dxa"/>
            <w:tcBorders>
              <w:top w:val="single" w:sz="18" w:space="0" w:color="7030A0"/>
              <w:left w:val="single" w:sz="18" w:space="0" w:color="7030A0"/>
              <w:bottom w:val="single" w:sz="18" w:space="0" w:color="7030A0"/>
              <w:right w:val="single" w:sz="18" w:space="0" w:color="7030A0"/>
            </w:tcBorders>
          </w:tcPr>
          <w:p w:rsidR="00C91FA9" w:rsidRPr="00F5160F" w:rsidRDefault="00C91FA9" w:rsidP="00C91FA9">
            <w:pPr>
              <w:spacing w:line="360" w:lineRule="auto"/>
              <w:jc w:val="both"/>
              <w:rPr>
                <w:rFonts w:asciiTheme="majorBidi" w:hAnsiTheme="majorBidi" w:cstheme="majorBidi"/>
                <w:b/>
                <w:bCs/>
                <w:sz w:val="24"/>
                <w:szCs w:val="24"/>
                <w:shd w:val="clear" w:color="auto" w:fill="FFFFFF"/>
              </w:rPr>
            </w:pPr>
            <w:r w:rsidRPr="00F5160F">
              <w:rPr>
                <w:rFonts w:asciiTheme="majorBidi" w:hAnsiTheme="majorBidi" w:cstheme="majorBidi"/>
                <w:sz w:val="24"/>
                <w:szCs w:val="24"/>
                <w:shd w:val="clear" w:color="auto" w:fill="FFFFFF"/>
              </w:rPr>
              <w:t>Maigre</w:t>
            </w:r>
          </w:p>
        </w:tc>
        <w:tc>
          <w:tcPr>
            <w:tcW w:w="1559"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00</w:t>
            </w:r>
          </w:p>
        </w:tc>
        <w:tc>
          <w:tcPr>
            <w:tcW w:w="1701"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02</w:t>
            </w:r>
          </w:p>
        </w:tc>
        <w:tc>
          <w:tcPr>
            <w:tcW w:w="1134" w:type="dxa"/>
            <w:gridSpan w:val="2"/>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c>
          <w:tcPr>
            <w:tcW w:w="1134"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r>
      <w:tr w:rsidR="00C91FA9" w:rsidRPr="00303677" w:rsidTr="00ED3E57">
        <w:trPr>
          <w:trHeight w:val="397"/>
          <w:jc w:val="center"/>
        </w:trPr>
        <w:tc>
          <w:tcPr>
            <w:tcW w:w="3227" w:type="dxa"/>
            <w:tcBorders>
              <w:top w:val="single" w:sz="18" w:space="0" w:color="7030A0"/>
              <w:left w:val="single" w:sz="18" w:space="0" w:color="7030A0"/>
              <w:bottom w:val="single" w:sz="18" w:space="0" w:color="7030A0"/>
              <w:right w:val="single" w:sz="18" w:space="0" w:color="7030A0"/>
            </w:tcBorders>
          </w:tcPr>
          <w:p w:rsidR="00C91FA9" w:rsidRPr="00F5160F" w:rsidRDefault="00C91FA9" w:rsidP="00C91FA9">
            <w:pPr>
              <w:spacing w:line="360" w:lineRule="auto"/>
              <w:jc w:val="both"/>
              <w:rPr>
                <w:rFonts w:asciiTheme="majorBidi" w:hAnsiTheme="majorBidi" w:cstheme="majorBidi"/>
                <w:b/>
                <w:bCs/>
                <w:sz w:val="24"/>
                <w:szCs w:val="24"/>
                <w:shd w:val="clear" w:color="auto" w:fill="FFFFFF"/>
              </w:rPr>
            </w:pPr>
            <w:r w:rsidRPr="00F5160F">
              <w:rPr>
                <w:rFonts w:asciiTheme="majorBidi" w:hAnsiTheme="majorBidi" w:cstheme="majorBidi"/>
                <w:sz w:val="24"/>
                <w:szCs w:val="24"/>
                <w:shd w:val="clear" w:color="auto" w:fill="FFFFFF"/>
              </w:rPr>
              <w:t>Normal</w:t>
            </w:r>
          </w:p>
        </w:tc>
        <w:tc>
          <w:tcPr>
            <w:tcW w:w="1559"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19</w:t>
            </w:r>
          </w:p>
        </w:tc>
        <w:tc>
          <w:tcPr>
            <w:tcW w:w="1701"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44</w:t>
            </w:r>
          </w:p>
        </w:tc>
        <w:tc>
          <w:tcPr>
            <w:tcW w:w="1134" w:type="dxa"/>
            <w:gridSpan w:val="2"/>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c>
          <w:tcPr>
            <w:tcW w:w="1134"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r>
      <w:tr w:rsidR="00C91FA9" w:rsidRPr="00303677" w:rsidTr="00ED3E57">
        <w:trPr>
          <w:trHeight w:val="509"/>
          <w:jc w:val="center"/>
        </w:trPr>
        <w:tc>
          <w:tcPr>
            <w:tcW w:w="3227" w:type="dxa"/>
            <w:tcBorders>
              <w:top w:val="single" w:sz="18" w:space="0" w:color="7030A0"/>
              <w:left w:val="single" w:sz="18" w:space="0" w:color="7030A0"/>
              <w:bottom w:val="single" w:sz="18" w:space="0" w:color="7030A0"/>
              <w:right w:val="single" w:sz="18" w:space="0" w:color="7030A0"/>
            </w:tcBorders>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Surpoids</w:t>
            </w:r>
          </w:p>
        </w:tc>
        <w:tc>
          <w:tcPr>
            <w:tcW w:w="1559"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63</w:t>
            </w:r>
          </w:p>
        </w:tc>
        <w:tc>
          <w:tcPr>
            <w:tcW w:w="1701"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49</w:t>
            </w:r>
          </w:p>
        </w:tc>
        <w:tc>
          <w:tcPr>
            <w:tcW w:w="1134" w:type="dxa"/>
            <w:gridSpan w:val="2"/>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c>
          <w:tcPr>
            <w:tcW w:w="1134"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r>
      <w:tr w:rsidR="00C91FA9" w:rsidRPr="00303677" w:rsidTr="00E54399">
        <w:trPr>
          <w:trHeight w:val="397"/>
          <w:jc w:val="center"/>
        </w:trPr>
        <w:tc>
          <w:tcPr>
            <w:tcW w:w="3227" w:type="dxa"/>
            <w:tcBorders>
              <w:top w:val="single" w:sz="18" w:space="0" w:color="7030A0"/>
              <w:left w:val="single" w:sz="18" w:space="0" w:color="7030A0"/>
              <w:bottom w:val="single" w:sz="18" w:space="0" w:color="7030A0"/>
              <w:right w:val="single" w:sz="18" w:space="0" w:color="7030A0"/>
            </w:tcBorders>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Obèse</w:t>
            </w:r>
          </w:p>
        </w:tc>
        <w:tc>
          <w:tcPr>
            <w:tcW w:w="1559"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18</w:t>
            </w:r>
          </w:p>
        </w:tc>
        <w:tc>
          <w:tcPr>
            <w:tcW w:w="1701"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05</w:t>
            </w:r>
          </w:p>
        </w:tc>
        <w:tc>
          <w:tcPr>
            <w:tcW w:w="1134" w:type="dxa"/>
            <w:gridSpan w:val="2"/>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c>
          <w:tcPr>
            <w:tcW w:w="1134" w:type="dxa"/>
            <w:tcBorders>
              <w:top w:val="single" w:sz="18" w:space="0" w:color="7030A0"/>
              <w:left w:val="single" w:sz="18" w:space="0" w:color="7030A0"/>
              <w:bottom w:val="single" w:sz="18" w:space="0" w:color="7030A0"/>
              <w:right w:val="single" w:sz="18" w:space="0" w:color="7030A0"/>
            </w:tcBorders>
          </w:tcPr>
          <w:p w:rsidR="00C91FA9" w:rsidRPr="00303677" w:rsidRDefault="00C91FA9" w:rsidP="00C91FA9">
            <w:pPr>
              <w:spacing w:line="360" w:lineRule="auto"/>
              <w:jc w:val="both"/>
              <w:rPr>
                <w:rFonts w:asciiTheme="majorBidi" w:hAnsiTheme="majorBidi" w:cstheme="majorBidi"/>
                <w:b/>
                <w:bCs/>
                <w:sz w:val="24"/>
                <w:szCs w:val="24"/>
              </w:rPr>
            </w:pPr>
          </w:p>
        </w:tc>
      </w:tr>
    </w:tbl>
    <w:p w:rsidR="00C91FA9" w:rsidRDefault="00C91FA9" w:rsidP="00C91FA9">
      <w:pPr>
        <w:tabs>
          <w:tab w:val="left" w:pos="5793"/>
        </w:tabs>
        <w:jc w:val="both"/>
      </w:pPr>
    </w:p>
    <w:p w:rsidR="00E54399" w:rsidRDefault="00E54399" w:rsidP="00E54399">
      <w:pPr>
        <w:tabs>
          <w:tab w:val="left" w:pos="5793"/>
        </w:tabs>
        <w:spacing w:line="36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lastRenderedPageBreak/>
        <w:t xml:space="preserve">          </w:t>
      </w:r>
      <w:r w:rsidR="00C91FA9" w:rsidRPr="0011661C">
        <w:rPr>
          <w:rFonts w:asciiTheme="majorBidi" w:hAnsiTheme="majorBidi" w:cstheme="majorBidi"/>
          <w:color w:val="000000" w:themeColor="text1"/>
          <w:sz w:val="24"/>
          <w:szCs w:val="24"/>
          <w:shd w:val="clear" w:color="auto" w:fill="FFFFFF"/>
        </w:rPr>
        <w:t>Selon le tableau III.</w:t>
      </w:r>
      <w:r w:rsidR="00C91FA9">
        <w:rPr>
          <w:rFonts w:asciiTheme="majorBidi" w:hAnsiTheme="majorBidi" w:cstheme="majorBidi"/>
          <w:color w:val="000000" w:themeColor="text1"/>
          <w:sz w:val="24"/>
          <w:szCs w:val="24"/>
          <w:shd w:val="clear" w:color="auto" w:fill="FFFFFF"/>
        </w:rPr>
        <w:t>1</w:t>
      </w:r>
      <w:r w:rsidR="00C91FA9" w:rsidRPr="0011661C">
        <w:rPr>
          <w:rFonts w:asciiTheme="majorBidi" w:hAnsiTheme="majorBidi" w:cstheme="majorBidi"/>
          <w:color w:val="000000" w:themeColor="text1"/>
          <w:sz w:val="24"/>
          <w:szCs w:val="24"/>
          <w:shd w:val="clear" w:color="auto" w:fill="FFFFFF"/>
        </w:rPr>
        <w:t xml:space="preserve"> on observe que le nombre des témoins ayant un IMC ≥ 25kg/m2  est élevé (81%)  par rapport au groupe malade qui est moins élevé avec (54%). La différence entre ces deux fréquences est hautement significative.</w:t>
      </w:r>
    </w:p>
    <w:p w:rsidR="00C91FA9" w:rsidRPr="00E54399" w:rsidRDefault="00C91FA9" w:rsidP="00E54399">
      <w:pPr>
        <w:pStyle w:val="Paragraphedeliste"/>
        <w:numPr>
          <w:ilvl w:val="1"/>
          <w:numId w:val="54"/>
        </w:numPr>
        <w:tabs>
          <w:tab w:val="left" w:pos="5793"/>
        </w:tabs>
        <w:spacing w:line="360" w:lineRule="auto"/>
        <w:jc w:val="both"/>
        <w:rPr>
          <w:rFonts w:asciiTheme="majorBidi" w:hAnsiTheme="majorBidi" w:cstheme="majorBidi"/>
          <w:color w:val="000000" w:themeColor="text1"/>
          <w:sz w:val="24"/>
          <w:szCs w:val="24"/>
          <w:shd w:val="clear" w:color="auto" w:fill="FFFFFF"/>
        </w:rPr>
      </w:pPr>
      <w:r w:rsidRPr="00E54399">
        <w:rPr>
          <w:rFonts w:asciiTheme="majorBidi" w:eastAsiaTheme="minorEastAsia" w:hAnsiTheme="majorBidi" w:cstheme="majorBidi"/>
          <w:b/>
          <w:bCs/>
          <w:color w:val="7030A0"/>
          <w:sz w:val="28"/>
          <w:szCs w:val="28"/>
          <w:lang w:eastAsia="fr-FR"/>
        </w:rPr>
        <w:t>Répartition des malades et des témoins en fonction de la présence/absence du syndrome métabolique</w:t>
      </w:r>
    </w:p>
    <w:p w:rsidR="00C91FA9" w:rsidRPr="005D5773" w:rsidRDefault="00E54399" w:rsidP="00C91FA9">
      <w:pPr>
        <w:tabs>
          <w:tab w:val="left" w:pos="5793"/>
        </w:tabs>
        <w:spacing w:line="36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            </w:t>
      </w:r>
      <w:r w:rsidR="00C91FA9" w:rsidRPr="005D5773">
        <w:rPr>
          <w:rFonts w:asciiTheme="majorBidi" w:hAnsiTheme="majorBidi" w:cstheme="majorBidi"/>
          <w:color w:val="000000" w:themeColor="text1"/>
          <w:sz w:val="24"/>
          <w:szCs w:val="24"/>
          <w:shd w:val="clear" w:color="auto" w:fill="FFFFFF"/>
        </w:rPr>
        <w:t>Le syndrome métabolique est présent chez les patients infectés par le VHC avec un pourcentage de (4%). En revanche il est de (1%) chez les témoins sains. La différence entre ces deux fréquences n’est pas statistiquement significative (p= 0.174).</w:t>
      </w:r>
    </w:p>
    <w:p w:rsidR="00C91FA9" w:rsidRPr="00C02F52" w:rsidRDefault="00C91FA9" w:rsidP="00C91FA9">
      <w:pPr>
        <w:tabs>
          <w:tab w:val="left" w:pos="2054"/>
        </w:tabs>
        <w:spacing w:line="360" w:lineRule="auto"/>
        <w:jc w:val="center"/>
        <w:rPr>
          <w:rFonts w:asciiTheme="majorBidi" w:hAnsiTheme="majorBidi" w:cstheme="majorBidi"/>
          <w:b/>
          <w:bCs/>
          <w:color w:val="000000" w:themeColor="text1"/>
          <w:sz w:val="24"/>
          <w:szCs w:val="24"/>
          <w:shd w:val="clear" w:color="auto" w:fill="FFFFFF"/>
        </w:rPr>
      </w:pPr>
      <w:r>
        <w:rPr>
          <w:rFonts w:asciiTheme="majorBidi" w:hAnsiTheme="majorBidi" w:cstheme="majorBidi"/>
          <w:b/>
          <w:bCs/>
          <w:sz w:val="24"/>
          <w:szCs w:val="24"/>
          <w:shd w:val="clear" w:color="auto" w:fill="FFFFFF"/>
        </w:rPr>
        <w:t xml:space="preserve"> Tableau III.2. </w:t>
      </w:r>
      <w:r w:rsidRPr="006A36FD">
        <w:rPr>
          <w:rFonts w:asciiTheme="majorBidi" w:hAnsiTheme="majorBidi" w:cstheme="majorBidi"/>
          <w:sz w:val="24"/>
          <w:szCs w:val="24"/>
          <w:shd w:val="clear" w:color="auto" w:fill="FFFFFF"/>
        </w:rPr>
        <w:t>Répartition des malades et des témoins  en fonction</w:t>
      </w:r>
      <w:r w:rsidRPr="006A36FD">
        <w:rPr>
          <w:rFonts w:asciiTheme="majorBidi" w:hAnsiTheme="majorBidi" w:cstheme="majorBidi"/>
          <w:color w:val="000000" w:themeColor="text1"/>
          <w:sz w:val="24"/>
          <w:szCs w:val="24"/>
          <w:shd w:val="clear" w:color="auto" w:fill="FFFFFF"/>
        </w:rPr>
        <w:t>de la présence/absence du syndrome métabolique</w:t>
      </w:r>
    </w:p>
    <w:tbl>
      <w:tblPr>
        <w:tblStyle w:val="Grilleclaire-Accent4"/>
        <w:tblW w:w="8614" w:type="dxa"/>
        <w:jc w:val="center"/>
        <w:tblLook w:val="04A0"/>
      </w:tblPr>
      <w:tblGrid>
        <w:gridCol w:w="2976"/>
        <w:gridCol w:w="1418"/>
        <w:gridCol w:w="1952"/>
        <w:gridCol w:w="1134"/>
        <w:gridCol w:w="1134"/>
      </w:tblGrid>
      <w:tr w:rsidR="00C91FA9" w:rsidRPr="00E721E8" w:rsidTr="00C91FA9">
        <w:trPr>
          <w:cnfStyle w:val="100000000000"/>
          <w:trHeight w:val="397"/>
          <w:jc w:val="center"/>
        </w:trPr>
        <w:tc>
          <w:tcPr>
            <w:cnfStyle w:val="001000000000"/>
            <w:tcW w:w="2976" w:type="dxa"/>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Statut</w:t>
            </w:r>
          </w:p>
        </w:tc>
        <w:tc>
          <w:tcPr>
            <w:tcW w:w="1418"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Témoin</w:t>
            </w:r>
            <w:r>
              <w:rPr>
                <w:rFonts w:asciiTheme="majorBidi" w:hAnsiTheme="majorBidi" w:cstheme="majorBidi"/>
                <w:sz w:val="24"/>
                <w:szCs w:val="24"/>
                <w:shd w:val="clear" w:color="auto" w:fill="FFFFFF"/>
              </w:rPr>
              <w:t xml:space="preserve"> %</w:t>
            </w:r>
          </w:p>
        </w:tc>
        <w:tc>
          <w:tcPr>
            <w:tcW w:w="1952"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Echantillon</w:t>
            </w:r>
            <w:r>
              <w:rPr>
                <w:rFonts w:asciiTheme="majorBidi" w:hAnsiTheme="majorBidi" w:cstheme="majorBidi"/>
                <w:sz w:val="24"/>
                <w:szCs w:val="24"/>
                <w:shd w:val="clear" w:color="auto" w:fill="FFFFFF"/>
              </w:rPr>
              <w:t xml:space="preserve"> %</w:t>
            </w:r>
          </w:p>
        </w:tc>
        <w:tc>
          <w:tcPr>
            <w:tcW w:w="1134"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χ2</w:t>
            </w:r>
          </w:p>
        </w:tc>
        <w:tc>
          <w:tcPr>
            <w:tcW w:w="1134"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P</w:t>
            </w:r>
          </w:p>
        </w:tc>
      </w:tr>
      <w:tr w:rsidR="00C91FA9" w:rsidRPr="00303677" w:rsidTr="00C91FA9">
        <w:trPr>
          <w:cnfStyle w:val="000000100000"/>
          <w:trHeight w:val="397"/>
          <w:jc w:val="center"/>
        </w:trPr>
        <w:tc>
          <w:tcPr>
            <w:cnfStyle w:val="001000000000"/>
            <w:tcW w:w="2976" w:type="dxa"/>
          </w:tcPr>
          <w:p w:rsidR="00C91FA9" w:rsidRPr="00E721E8" w:rsidRDefault="00C91FA9" w:rsidP="00C91FA9">
            <w:pPr>
              <w:spacing w:line="360" w:lineRule="auto"/>
              <w:jc w:val="both"/>
              <w:rPr>
                <w:rFonts w:asciiTheme="majorBidi" w:hAnsiTheme="majorBidi" w:cstheme="majorBidi"/>
                <w:sz w:val="24"/>
                <w:szCs w:val="24"/>
              </w:rPr>
            </w:pPr>
            <w:r w:rsidRPr="00E721E8">
              <w:rPr>
                <w:rFonts w:asciiTheme="majorBidi" w:hAnsiTheme="majorBidi" w:cstheme="majorBidi"/>
                <w:sz w:val="24"/>
                <w:szCs w:val="24"/>
              </w:rPr>
              <w:t>Syndrome métabolique</w:t>
            </w:r>
          </w:p>
        </w:tc>
        <w:tc>
          <w:tcPr>
            <w:tcW w:w="1418"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952"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134" w:type="dxa"/>
          </w:tcPr>
          <w:p w:rsidR="00C91FA9" w:rsidRPr="006E5A86" w:rsidRDefault="00C91FA9" w:rsidP="00C91FA9">
            <w:pPr>
              <w:spacing w:line="360" w:lineRule="auto"/>
              <w:jc w:val="both"/>
              <w:cnfStyle w:val="000000100000"/>
              <w:rPr>
                <w:rFonts w:asciiTheme="majorBidi" w:hAnsiTheme="majorBidi" w:cstheme="majorBidi"/>
                <w:b/>
                <w:bCs/>
                <w:sz w:val="24"/>
                <w:szCs w:val="24"/>
              </w:rPr>
            </w:pPr>
            <w:r w:rsidRPr="006E5A86">
              <w:rPr>
                <w:rFonts w:asciiTheme="majorBidi" w:hAnsiTheme="majorBidi" w:cstheme="majorBidi"/>
                <w:b/>
                <w:bCs/>
                <w:sz w:val="24"/>
                <w:szCs w:val="24"/>
              </w:rPr>
              <w:t>1,846</w:t>
            </w:r>
          </w:p>
        </w:tc>
        <w:tc>
          <w:tcPr>
            <w:tcW w:w="1134" w:type="dxa"/>
          </w:tcPr>
          <w:p w:rsidR="00C91FA9" w:rsidRPr="006E5A86" w:rsidRDefault="00C91FA9" w:rsidP="00C91FA9">
            <w:pPr>
              <w:spacing w:line="360" w:lineRule="auto"/>
              <w:jc w:val="both"/>
              <w:cnfStyle w:val="000000100000"/>
              <w:rPr>
                <w:rFonts w:asciiTheme="majorBidi" w:hAnsiTheme="majorBidi" w:cstheme="majorBidi"/>
                <w:b/>
                <w:bCs/>
                <w:sz w:val="24"/>
                <w:szCs w:val="24"/>
              </w:rPr>
            </w:pPr>
            <w:r w:rsidRPr="006E5A86">
              <w:rPr>
                <w:rFonts w:asciiTheme="majorBidi" w:hAnsiTheme="majorBidi" w:cstheme="majorBidi"/>
                <w:b/>
                <w:bCs/>
                <w:sz w:val="24"/>
                <w:szCs w:val="24"/>
              </w:rPr>
              <w:t>0,174</w:t>
            </w:r>
          </w:p>
        </w:tc>
      </w:tr>
      <w:tr w:rsidR="00C91FA9" w:rsidRPr="00303677" w:rsidTr="00C91FA9">
        <w:trPr>
          <w:cnfStyle w:val="000000010000"/>
          <w:trHeight w:val="397"/>
          <w:jc w:val="center"/>
        </w:trPr>
        <w:tc>
          <w:tcPr>
            <w:cnfStyle w:val="001000000000"/>
            <w:tcW w:w="2976" w:type="dxa"/>
          </w:tcPr>
          <w:p w:rsidR="00C91FA9" w:rsidRPr="00E721E8" w:rsidRDefault="00C91FA9" w:rsidP="00C91FA9">
            <w:pPr>
              <w:spacing w:line="360" w:lineRule="auto"/>
              <w:jc w:val="both"/>
              <w:rPr>
                <w:rFonts w:asciiTheme="majorBidi" w:hAnsiTheme="majorBidi" w:cstheme="majorBidi"/>
                <w:sz w:val="24"/>
                <w:szCs w:val="24"/>
              </w:rPr>
            </w:pPr>
            <w:r w:rsidRPr="00E721E8">
              <w:rPr>
                <w:rFonts w:asciiTheme="majorBidi" w:hAnsiTheme="majorBidi" w:cstheme="majorBidi"/>
                <w:sz w:val="24"/>
                <w:szCs w:val="24"/>
              </w:rPr>
              <w:t>Oui</w:t>
            </w:r>
          </w:p>
        </w:tc>
        <w:tc>
          <w:tcPr>
            <w:tcW w:w="1418" w:type="dxa"/>
          </w:tcPr>
          <w:p w:rsidR="00C91FA9" w:rsidRPr="006E5A86" w:rsidRDefault="00C91FA9" w:rsidP="00C91FA9">
            <w:pPr>
              <w:spacing w:line="360" w:lineRule="auto"/>
              <w:jc w:val="both"/>
              <w:cnfStyle w:val="000000010000"/>
              <w:rPr>
                <w:rFonts w:asciiTheme="majorBidi" w:hAnsiTheme="majorBidi" w:cstheme="majorBidi"/>
                <w:b/>
                <w:bCs/>
                <w:sz w:val="24"/>
                <w:szCs w:val="24"/>
              </w:rPr>
            </w:pPr>
            <w:r w:rsidRPr="006E5A86">
              <w:rPr>
                <w:rFonts w:asciiTheme="majorBidi" w:hAnsiTheme="majorBidi" w:cstheme="majorBidi"/>
                <w:b/>
                <w:bCs/>
                <w:sz w:val="24"/>
                <w:szCs w:val="24"/>
              </w:rPr>
              <w:t>01</w:t>
            </w:r>
          </w:p>
        </w:tc>
        <w:tc>
          <w:tcPr>
            <w:tcW w:w="1952" w:type="dxa"/>
          </w:tcPr>
          <w:p w:rsidR="00C91FA9" w:rsidRPr="006E5A86" w:rsidRDefault="00C91FA9" w:rsidP="00C91FA9">
            <w:pPr>
              <w:spacing w:line="360" w:lineRule="auto"/>
              <w:jc w:val="both"/>
              <w:cnfStyle w:val="000000010000"/>
              <w:rPr>
                <w:rFonts w:asciiTheme="majorBidi" w:hAnsiTheme="majorBidi" w:cstheme="majorBidi"/>
                <w:b/>
                <w:bCs/>
                <w:sz w:val="24"/>
                <w:szCs w:val="24"/>
              </w:rPr>
            </w:pPr>
            <w:r w:rsidRPr="006E5A86">
              <w:rPr>
                <w:rFonts w:asciiTheme="majorBidi" w:hAnsiTheme="majorBidi" w:cstheme="majorBidi"/>
                <w:b/>
                <w:bCs/>
                <w:sz w:val="24"/>
                <w:szCs w:val="24"/>
              </w:rPr>
              <w:t>04</w:t>
            </w:r>
          </w:p>
        </w:tc>
        <w:tc>
          <w:tcPr>
            <w:tcW w:w="1134"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p>
        </w:tc>
        <w:tc>
          <w:tcPr>
            <w:tcW w:w="1134"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p>
        </w:tc>
      </w:tr>
      <w:tr w:rsidR="00C91FA9" w:rsidRPr="00303677" w:rsidTr="00C91FA9">
        <w:trPr>
          <w:cnfStyle w:val="000000100000"/>
          <w:trHeight w:val="397"/>
          <w:jc w:val="center"/>
        </w:trPr>
        <w:tc>
          <w:tcPr>
            <w:cnfStyle w:val="001000000000"/>
            <w:tcW w:w="2976" w:type="dxa"/>
          </w:tcPr>
          <w:p w:rsidR="00C91FA9" w:rsidRPr="00E721E8" w:rsidRDefault="00C91FA9" w:rsidP="00C91FA9">
            <w:pPr>
              <w:spacing w:line="360" w:lineRule="auto"/>
              <w:jc w:val="both"/>
              <w:rPr>
                <w:rFonts w:asciiTheme="majorBidi" w:hAnsiTheme="majorBidi" w:cstheme="majorBidi"/>
                <w:sz w:val="24"/>
                <w:szCs w:val="24"/>
              </w:rPr>
            </w:pPr>
            <w:r w:rsidRPr="00E721E8">
              <w:rPr>
                <w:rFonts w:asciiTheme="majorBidi" w:hAnsiTheme="majorBidi" w:cstheme="majorBidi"/>
                <w:sz w:val="24"/>
                <w:szCs w:val="24"/>
              </w:rPr>
              <w:t>Non</w:t>
            </w:r>
          </w:p>
        </w:tc>
        <w:tc>
          <w:tcPr>
            <w:tcW w:w="1418" w:type="dxa"/>
          </w:tcPr>
          <w:p w:rsidR="00C91FA9" w:rsidRPr="006E5A86" w:rsidRDefault="00C91FA9" w:rsidP="00C91FA9">
            <w:pPr>
              <w:spacing w:line="360" w:lineRule="auto"/>
              <w:jc w:val="both"/>
              <w:cnfStyle w:val="000000100000"/>
              <w:rPr>
                <w:rFonts w:asciiTheme="majorBidi" w:hAnsiTheme="majorBidi" w:cstheme="majorBidi"/>
                <w:b/>
                <w:bCs/>
                <w:sz w:val="24"/>
                <w:szCs w:val="24"/>
              </w:rPr>
            </w:pPr>
            <w:r w:rsidRPr="006E5A86">
              <w:rPr>
                <w:rFonts w:asciiTheme="majorBidi" w:hAnsiTheme="majorBidi" w:cstheme="majorBidi"/>
                <w:b/>
                <w:bCs/>
                <w:sz w:val="24"/>
                <w:szCs w:val="24"/>
              </w:rPr>
              <w:t>99</w:t>
            </w:r>
          </w:p>
        </w:tc>
        <w:tc>
          <w:tcPr>
            <w:tcW w:w="1952" w:type="dxa"/>
          </w:tcPr>
          <w:p w:rsidR="00C91FA9" w:rsidRPr="006E5A86" w:rsidRDefault="00C91FA9" w:rsidP="00C91FA9">
            <w:pPr>
              <w:spacing w:line="360" w:lineRule="auto"/>
              <w:jc w:val="both"/>
              <w:cnfStyle w:val="000000100000"/>
              <w:rPr>
                <w:rFonts w:asciiTheme="majorBidi" w:hAnsiTheme="majorBidi" w:cstheme="majorBidi"/>
                <w:b/>
                <w:bCs/>
                <w:sz w:val="24"/>
                <w:szCs w:val="24"/>
              </w:rPr>
            </w:pPr>
            <w:r w:rsidRPr="006E5A86">
              <w:rPr>
                <w:rFonts w:asciiTheme="majorBidi" w:hAnsiTheme="majorBidi" w:cstheme="majorBidi"/>
                <w:b/>
                <w:bCs/>
                <w:sz w:val="24"/>
                <w:szCs w:val="24"/>
              </w:rPr>
              <w:t>96</w:t>
            </w:r>
          </w:p>
        </w:tc>
        <w:tc>
          <w:tcPr>
            <w:tcW w:w="1134"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134"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r>
    </w:tbl>
    <w:p w:rsidR="00C91FA9" w:rsidRDefault="00C91FA9" w:rsidP="00C91FA9">
      <w:pPr>
        <w:tabs>
          <w:tab w:val="left" w:pos="5793"/>
        </w:tabs>
        <w:spacing w:line="360" w:lineRule="auto"/>
        <w:jc w:val="both"/>
      </w:pPr>
    </w:p>
    <w:p w:rsidR="00C91FA9" w:rsidRPr="00E54399" w:rsidRDefault="00C91FA9" w:rsidP="00E54399">
      <w:pPr>
        <w:pStyle w:val="Paragraphedeliste"/>
        <w:numPr>
          <w:ilvl w:val="1"/>
          <w:numId w:val="54"/>
        </w:numPr>
        <w:spacing w:line="360" w:lineRule="auto"/>
        <w:jc w:val="both"/>
        <w:rPr>
          <w:rFonts w:asciiTheme="majorBidi" w:eastAsiaTheme="minorEastAsia" w:hAnsiTheme="majorBidi" w:cstheme="majorBidi"/>
          <w:b/>
          <w:bCs/>
          <w:color w:val="7030A0"/>
          <w:sz w:val="28"/>
          <w:szCs w:val="28"/>
          <w:lang w:eastAsia="fr-FR"/>
        </w:rPr>
      </w:pPr>
      <w:r w:rsidRPr="00E54399">
        <w:rPr>
          <w:rFonts w:asciiTheme="majorBidi" w:eastAsiaTheme="minorEastAsia" w:hAnsiTheme="majorBidi" w:cstheme="majorBidi"/>
          <w:b/>
          <w:bCs/>
          <w:color w:val="7030A0"/>
          <w:sz w:val="28"/>
          <w:szCs w:val="28"/>
          <w:lang w:eastAsia="fr-FR"/>
        </w:rPr>
        <w:t>Répartition des malades et des témoins  en fonction des taux d’ASAT</w:t>
      </w:r>
    </w:p>
    <w:p w:rsidR="00C91FA9" w:rsidRPr="0056031B" w:rsidRDefault="00C91FA9" w:rsidP="00C91FA9">
      <w:pPr>
        <w:spacing w:line="360" w:lineRule="auto"/>
        <w:ind w:left="142" w:firstLine="566"/>
        <w:jc w:val="both"/>
        <w:rPr>
          <w:rFonts w:asciiTheme="majorBidi" w:eastAsiaTheme="minorEastAsia" w:hAnsiTheme="majorBidi" w:cstheme="majorBidi"/>
          <w:b/>
          <w:bCs/>
          <w:color w:val="7030A0"/>
          <w:sz w:val="28"/>
          <w:szCs w:val="28"/>
          <w:lang w:eastAsia="fr-FR"/>
        </w:rPr>
      </w:pPr>
      <w:r w:rsidRPr="0056031B">
        <w:rPr>
          <w:rFonts w:asciiTheme="majorBidi" w:eastAsiaTheme="minorEastAsia" w:hAnsiTheme="majorBidi" w:cstheme="majorBidi"/>
          <w:sz w:val="24"/>
          <w:szCs w:val="24"/>
          <w:lang w:eastAsia="fr-FR"/>
        </w:rPr>
        <w:t>La répartition de groupe malade et groupe témoin selon le taux d’ASAT est représenté</w:t>
      </w:r>
      <w:r>
        <w:rPr>
          <w:rFonts w:asciiTheme="majorBidi" w:eastAsiaTheme="minorEastAsia" w:hAnsiTheme="majorBidi" w:cstheme="majorBidi"/>
          <w:sz w:val="24"/>
          <w:szCs w:val="24"/>
          <w:lang w:eastAsia="fr-FR"/>
        </w:rPr>
        <w:t>e</w:t>
      </w:r>
      <w:r w:rsidRPr="0056031B">
        <w:rPr>
          <w:rFonts w:asciiTheme="majorBidi" w:eastAsiaTheme="minorEastAsia" w:hAnsiTheme="majorBidi" w:cstheme="majorBidi"/>
          <w:sz w:val="24"/>
          <w:szCs w:val="24"/>
          <w:lang w:eastAsia="fr-FR"/>
        </w:rPr>
        <w:t xml:space="preserve"> dans le tableau suivant :</w:t>
      </w:r>
    </w:p>
    <w:p w:rsidR="00C91FA9" w:rsidRPr="006A36FD" w:rsidRDefault="00C91FA9" w:rsidP="00C91FA9">
      <w:pPr>
        <w:tabs>
          <w:tab w:val="left" w:pos="2054"/>
        </w:tabs>
        <w:spacing w:line="360" w:lineRule="auto"/>
        <w:jc w:val="center"/>
        <w:rPr>
          <w:rFonts w:asciiTheme="majorBidi" w:hAnsiTheme="majorBidi" w:cstheme="majorBidi"/>
          <w:color w:val="000000" w:themeColor="text1"/>
          <w:sz w:val="24"/>
          <w:szCs w:val="24"/>
          <w:shd w:val="clear" w:color="auto" w:fill="FFFFFF"/>
        </w:rPr>
      </w:pPr>
      <w:r>
        <w:rPr>
          <w:rFonts w:asciiTheme="majorBidi" w:hAnsiTheme="majorBidi" w:cstheme="majorBidi"/>
          <w:b/>
          <w:bCs/>
          <w:sz w:val="24"/>
          <w:szCs w:val="24"/>
          <w:shd w:val="clear" w:color="auto" w:fill="FFFFFF"/>
        </w:rPr>
        <w:t xml:space="preserve">Tableau III.3. </w:t>
      </w:r>
      <w:r w:rsidRPr="006A36FD">
        <w:rPr>
          <w:rFonts w:asciiTheme="majorBidi" w:hAnsiTheme="majorBidi" w:cstheme="majorBidi"/>
          <w:sz w:val="24"/>
          <w:szCs w:val="24"/>
          <w:shd w:val="clear" w:color="auto" w:fill="FFFFFF"/>
        </w:rPr>
        <w:t>Répartition des malades et des témoins en fonction des taux</w:t>
      </w:r>
      <w:r w:rsidRPr="006A36FD">
        <w:rPr>
          <w:rFonts w:asciiTheme="majorBidi" w:hAnsiTheme="majorBidi" w:cstheme="majorBidi"/>
          <w:color w:val="000000" w:themeColor="text1"/>
          <w:sz w:val="24"/>
          <w:szCs w:val="24"/>
          <w:shd w:val="clear" w:color="auto" w:fill="FFFFFF"/>
        </w:rPr>
        <w:t xml:space="preserve"> d’ASAT</w:t>
      </w:r>
    </w:p>
    <w:tbl>
      <w:tblPr>
        <w:tblStyle w:val="Grilleclaire-Accent4"/>
        <w:tblW w:w="8472" w:type="dxa"/>
        <w:jc w:val="center"/>
        <w:tblLook w:val="04A0"/>
      </w:tblPr>
      <w:tblGrid>
        <w:gridCol w:w="2625"/>
        <w:gridCol w:w="1769"/>
        <w:gridCol w:w="1917"/>
        <w:gridCol w:w="1276"/>
        <w:gridCol w:w="885"/>
      </w:tblGrid>
      <w:tr w:rsidR="00C91FA9" w:rsidRPr="00E721E8" w:rsidTr="00C91FA9">
        <w:trPr>
          <w:cnfStyle w:val="100000000000"/>
          <w:trHeight w:val="397"/>
          <w:jc w:val="center"/>
        </w:trPr>
        <w:tc>
          <w:tcPr>
            <w:cnfStyle w:val="001000000000"/>
            <w:tcW w:w="2625" w:type="dxa"/>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Statut</w:t>
            </w:r>
          </w:p>
        </w:tc>
        <w:tc>
          <w:tcPr>
            <w:tcW w:w="1769"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Témoin</w:t>
            </w:r>
            <w:r>
              <w:rPr>
                <w:rFonts w:asciiTheme="majorBidi" w:hAnsiTheme="majorBidi" w:cstheme="majorBidi"/>
                <w:sz w:val="24"/>
                <w:szCs w:val="24"/>
                <w:shd w:val="clear" w:color="auto" w:fill="FFFFFF"/>
              </w:rPr>
              <w:t xml:space="preserve"> %</w:t>
            </w:r>
          </w:p>
        </w:tc>
        <w:tc>
          <w:tcPr>
            <w:tcW w:w="1917"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Echantillon</w:t>
            </w:r>
            <w:r>
              <w:rPr>
                <w:rFonts w:asciiTheme="majorBidi" w:hAnsiTheme="majorBidi" w:cstheme="majorBidi"/>
                <w:sz w:val="24"/>
                <w:szCs w:val="24"/>
                <w:shd w:val="clear" w:color="auto" w:fill="FFFFFF"/>
              </w:rPr>
              <w:t xml:space="preserve"> %</w:t>
            </w:r>
          </w:p>
        </w:tc>
        <w:tc>
          <w:tcPr>
            <w:tcW w:w="1276"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χ2</w:t>
            </w:r>
          </w:p>
        </w:tc>
        <w:tc>
          <w:tcPr>
            <w:tcW w:w="885"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P</w:t>
            </w:r>
          </w:p>
        </w:tc>
      </w:tr>
      <w:tr w:rsidR="00C91FA9" w:rsidRPr="00303677" w:rsidTr="00C91FA9">
        <w:trPr>
          <w:cnfStyle w:val="000000100000"/>
          <w:trHeight w:val="397"/>
          <w:jc w:val="center"/>
        </w:trPr>
        <w:tc>
          <w:tcPr>
            <w:cnfStyle w:val="001000000000"/>
            <w:tcW w:w="2625" w:type="dxa"/>
          </w:tcPr>
          <w:p w:rsidR="00C91FA9" w:rsidRPr="00E721E8" w:rsidRDefault="00C91FA9" w:rsidP="00C91FA9">
            <w:pPr>
              <w:spacing w:line="360" w:lineRule="auto"/>
              <w:jc w:val="both"/>
              <w:rPr>
                <w:rFonts w:asciiTheme="majorBidi" w:hAnsiTheme="majorBidi" w:cstheme="majorBidi"/>
                <w:sz w:val="24"/>
                <w:szCs w:val="24"/>
              </w:rPr>
            </w:pPr>
            <w:r w:rsidRPr="00E721E8">
              <w:rPr>
                <w:rFonts w:asciiTheme="majorBidi" w:hAnsiTheme="majorBidi" w:cstheme="majorBidi"/>
                <w:sz w:val="24"/>
                <w:szCs w:val="24"/>
              </w:rPr>
              <w:t>TG</w:t>
            </w:r>
            <w:r>
              <w:rPr>
                <w:rFonts w:asciiTheme="majorBidi" w:hAnsiTheme="majorBidi" w:cstheme="majorBidi"/>
                <w:sz w:val="24"/>
                <w:szCs w:val="24"/>
              </w:rPr>
              <w:t>O</w:t>
            </w:r>
          </w:p>
        </w:tc>
        <w:tc>
          <w:tcPr>
            <w:tcW w:w="1769"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917"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276"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33,680</w:t>
            </w:r>
          </w:p>
        </w:tc>
        <w:tc>
          <w:tcPr>
            <w:tcW w:w="885"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0.000</w:t>
            </w:r>
          </w:p>
        </w:tc>
      </w:tr>
      <w:tr w:rsidR="00C91FA9" w:rsidRPr="00303677" w:rsidTr="00C91FA9">
        <w:trPr>
          <w:cnfStyle w:val="000000010000"/>
          <w:trHeight w:val="397"/>
          <w:jc w:val="center"/>
        </w:trPr>
        <w:tc>
          <w:tcPr>
            <w:cnfStyle w:val="001000000000"/>
            <w:tcW w:w="2625" w:type="dxa"/>
          </w:tcPr>
          <w:p w:rsidR="00C91FA9" w:rsidRPr="00E721E8" w:rsidRDefault="00C91FA9" w:rsidP="00C91FA9">
            <w:pPr>
              <w:spacing w:line="360" w:lineRule="auto"/>
              <w:jc w:val="both"/>
              <w:rPr>
                <w:rFonts w:asciiTheme="majorBidi" w:hAnsiTheme="majorBidi" w:cstheme="majorBidi"/>
                <w:sz w:val="24"/>
                <w:szCs w:val="24"/>
              </w:rPr>
            </w:pPr>
            <w:r w:rsidRPr="00E721E8">
              <w:rPr>
                <w:rFonts w:asciiTheme="majorBidi" w:hAnsiTheme="majorBidi" w:cstheme="majorBidi"/>
                <w:sz w:val="24"/>
                <w:szCs w:val="24"/>
              </w:rPr>
              <w:t>Hyper-TG</w:t>
            </w:r>
            <w:r>
              <w:rPr>
                <w:rFonts w:asciiTheme="majorBidi" w:hAnsiTheme="majorBidi" w:cstheme="majorBidi"/>
                <w:sz w:val="24"/>
                <w:szCs w:val="24"/>
              </w:rPr>
              <w:t>O</w:t>
            </w:r>
          </w:p>
        </w:tc>
        <w:tc>
          <w:tcPr>
            <w:tcW w:w="1769"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r>
              <w:rPr>
                <w:rFonts w:asciiTheme="majorBidi" w:hAnsiTheme="majorBidi" w:cstheme="majorBidi"/>
                <w:b/>
                <w:bCs/>
                <w:sz w:val="24"/>
                <w:szCs w:val="24"/>
              </w:rPr>
              <w:t>08</w:t>
            </w:r>
          </w:p>
        </w:tc>
        <w:tc>
          <w:tcPr>
            <w:tcW w:w="1917"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r>
              <w:rPr>
                <w:rFonts w:asciiTheme="majorBidi" w:hAnsiTheme="majorBidi" w:cstheme="majorBidi"/>
                <w:b/>
                <w:bCs/>
                <w:sz w:val="24"/>
                <w:szCs w:val="24"/>
              </w:rPr>
              <w:t>44</w:t>
            </w:r>
          </w:p>
        </w:tc>
        <w:tc>
          <w:tcPr>
            <w:tcW w:w="1276"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p>
        </w:tc>
        <w:tc>
          <w:tcPr>
            <w:tcW w:w="885"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p>
        </w:tc>
      </w:tr>
      <w:tr w:rsidR="00C91FA9" w:rsidRPr="00303677" w:rsidTr="00C91FA9">
        <w:trPr>
          <w:cnfStyle w:val="000000100000"/>
          <w:trHeight w:val="397"/>
          <w:jc w:val="center"/>
        </w:trPr>
        <w:tc>
          <w:tcPr>
            <w:cnfStyle w:val="001000000000"/>
            <w:tcW w:w="2625" w:type="dxa"/>
          </w:tcPr>
          <w:p w:rsidR="00C91FA9" w:rsidRPr="00E721E8" w:rsidRDefault="00C91FA9" w:rsidP="00C91FA9">
            <w:pPr>
              <w:spacing w:line="360" w:lineRule="auto"/>
              <w:jc w:val="both"/>
              <w:rPr>
                <w:rFonts w:asciiTheme="majorBidi" w:hAnsiTheme="majorBidi" w:cstheme="majorBidi"/>
                <w:sz w:val="24"/>
                <w:szCs w:val="24"/>
              </w:rPr>
            </w:pPr>
            <w:r w:rsidRPr="00E721E8">
              <w:rPr>
                <w:rFonts w:asciiTheme="majorBidi" w:hAnsiTheme="majorBidi" w:cstheme="majorBidi"/>
                <w:sz w:val="24"/>
                <w:szCs w:val="24"/>
              </w:rPr>
              <w:t>Normal</w:t>
            </w:r>
          </w:p>
        </w:tc>
        <w:tc>
          <w:tcPr>
            <w:tcW w:w="1769"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92</w:t>
            </w:r>
          </w:p>
        </w:tc>
        <w:tc>
          <w:tcPr>
            <w:tcW w:w="1917"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56</w:t>
            </w:r>
          </w:p>
        </w:tc>
        <w:tc>
          <w:tcPr>
            <w:tcW w:w="1276"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885"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r>
    </w:tbl>
    <w:p w:rsidR="00C91FA9" w:rsidRDefault="00C91FA9" w:rsidP="00C91FA9">
      <w:pPr>
        <w:tabs>
          <w:tab w:val="left" w:pos="2054"/>
        </w:tabs>
        <w:spacing w:line="360" w:lineRule="auto"/>
        <w:ind w:left="567" w:firstLine="284"/>
        <w:jc w:val="both"/>
        <w:rPr>
          <w:rFonts w:asciiTheme="majorBidi" w:hAnsiTheme="majorBidi" w:cstheme="majorBidi"/>
          <w:b/>
          <w:bCs/>
          <w:color w:val="000000" w:themeColor="text1"/>
          <w:sz w:val="24"/>
          <w:szCs w:val="24"/>
          <w:shd w:val="clear" w:color="auto" w:fill="FFFFFF"/>
        </w:rPr>
      </w:pPr>
    </w:p>
    <w:p w:rsidR="00E54399" w:rsidRDefault="00C91FA9" w:rsidP="00E54399">
      <w:pPr>
        <w:tabs>
          <w:tab w:val="left" w:pos="2054"/>
        </w:tabs>
        <w:spacing w:line="360" w:lineRule="auto"/>
        <w:ind w:left="567" w:firstLine="284"/>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    En ce qui concerne le taux d’ASAT, (56%) des malades atteints d’hépatite C ont un taux normal d’ASAT, par contre le reste des patients (44%) présente un taux élevé. En </w:t>
      </w:r>
      <w:r>
        <w:rPr>
          <w:rFonts w:asciiTheme="majorBidi" w:hAnsiTheme="majorBidi" w:cstheme="majorBidi"/>
          <w:color w:val="000000" w:themeColor="text1"/>
          <w:sz w:val="24"/>
          <w:szCs w:val="24"/>
          <w:shd w:val="clear" w:color="auto" w:fill="FFFFFF"/>
        </w:rPr>
        <w:lastRenderedPageBreak/>
        <w:t>revanche, seulement (08%) des témoins ont un taux élevé d’ASAT. Cette différence est hautement significative.</w:t>
      </w:r>
    </w:p>
    <w:p w:rsidR="00C91FA9" w:rsidRPr="00E54399" w:rsidRDefault="00C91FA9" w:rsidP="00E54399">
      <w:pPr>
        <w:pStyle w:val="Paragraphedeliste"/>
        <w:numPr>
          <w:ilvl w:val="1"/>
          <w:numId w:val="54"/>
        </w:numPr>
        <w:tabs>
          <w:tab w:val="left" w:pos="2054"/>
        </w:tabs>
        <w:spacing w:line="360" w:lineRule="auto"/>
        <w:jc w:val="both"/>
        <w:rPr>
          <w:rFonts w:asciiTheme="majorBidi" w:hAnsiTheme="majorBidi" w:cstheme="majorBidi"/>
          <w:color w:val="000000" w:themeColor="text1"/>
          <w:sz w:val="24"/>
          <w:szCs w:val="24"/>
          <w:shd w:val="clear" w:color="auto" w:fill="FFFFFF"/>
        </w:rPr>
      </w:pPr>
      <w:r w:rsidRPr="00E54399">
        <w:rPr>
          <w:rFonts w:asciiTheme="majorBidi" w:eastAsiaTheme="minorEastAsia" w:hAnsiTheme="majorBidi" w:cstheme="majorBidi"/>
          <w:b/>
          <w:bCs/>
          <w:color w:val="7030A0"/>
          <w:sz w:val="28"/>
          <w:szCs w:val="28"/>
          <w:lang w:eastAsia="fr-FR"/>
        </w:rPr>
        <w:t>Répartition des malades et des témoins  en fonction des taux d’ALAT</w:t>
      </w:r>
    </w:p>
    <w:p w:rsidR="00C91FA9" w:rsidRPr="0056031B" w:rsidRDefault="00C91FA9" w:rsidP="00C91FA9">
      <w:pPr>
        <w:spacing w:line="360" w:lineRule="auto"/>
        <w:ind w:left="142" w:firstLine="566"/>
        <w:jc w:val="both"/>
        <w:rPr>
          <w:rFonts w:asciiTheme="majorBidi" w:eastAsiaTheme="minorEastAsia" w:hAnsiTheme="majorBidi" w:cstheme="majorBidi"/>
          <w:b/>
          <w:bCs/>
          <w:color w:val="7030A0"/>
          <w:sz w:val="28"/>
          <w:szCs w:val="28"/>
          <w:lang w:eastAsia="fr-FR"/>
        </w:rPr>
      </w:pPr>
      <w:r>
        <w:rPr>
          <w:rFonts w:asciiTheme="majorBidi" w:hAnsiTheme="majorBidi" w:cstheme="majorBidi"/>
          <w:color w:val="000000" w:themeColor="text1"/>
          <w:sz w:val="24"/>
          <w:szCs w:val="24"/>
          <w:shd w:val="clear" w:color="auto" w:fill="FFFFFF"/>
        </w:rPr>
        <w:t>L</w:t>
      </w:r>
      <w:r w:rsidRPr="0056031B">
        <w:rPr>
          <w:rFonts w:asciiTheme="majorBidi" w:hAnsiTheme="majorBidi" w:cstheme="majorBidi"/>
          <w:color w:val="000000" w:themeColor="text1"/>
          <w:sz w:val="24"/>
          <w:szCs w:val="24"/>
          <w:shd w:val="clear" w:color="auto" w:fill="FFFFFF"/>
        </w:rPr>
        <w:t xml:space="preserve">es taux d’ALAT chez les patients atteints du VHC et les témoins sains sont répartis dans </w:t>
      </w:r>
      <w:r>
        <w:rPr>
          <w:rFonts w:asciiTheme="majorBidi" w:hAnsiTheme="majorBidi" w:cstheme="majorBidi"/>
          <w:color w:val="000000" w:themeColor="text1"/>
          <w:sz w:val="24"/>
          <w:szCs w:val="24"/>
          <w:shd w:val="clear" w:color="auto" w:fill="FFFFFF"/>
        </w:rPr>
        <w:t>l</w:t>
      </w:r>
      <w:r w:rsidRPr="0056031B">
        <w:rPr>
          <w:rFonts w:asciiTheme="majorBidi" w:hAnsiTheme="majorBidi" w:cstheme="majorBidi"/>
          <w:color w:val="000000" w:themeColor="text1"/>
          <w:sz w:val="24"/>
          <w:szCs w:val="24"/>
          <w:shd w:val="clear" w:color="auto" w:fill="FFFFFF"/>
        </w:rPr>
        <w:t>e tableau </w:t>
      </w:r>
      <w:r>
        <w:rPr>
          <w:rFonts w:asciiTheme="majorBidi" w:hAnsiTheme="majorBidi" w:cstheme="majorBidi"/>
          <w:color w:val="000000" w:themeColor="text1"/>
          <w:sz w:val="24"/>
          <w:szCs w:val="24"/>
          <w:shd w:val="clear" w:color="auto" w:fill="FFFFFF"/>
        </w:rPr>
        <w:t>III.4.</w:t>
      </w:r>
    </w:p>
    <w:p w:rsidR="00C91FA9" w:rsidRPr="006A36FD" w:rsidRDefault="00C91FA9" w:rsidP="00C91FA9">
      <w:pPr>
        <w:tabs>
          <w:tab w:val="left" w:pos="2054"/>
        </w:tabs>
        <w:spacing w:line="360" w:lineRule="auto"/>
        <w:jc w:val="center"/>
        <w:rPr>
          <w:rFonts w:asciiTheme="majorBidi" w:hAnsiTheme="majorBidi" w:cstheme="majorBidi"/>
          <w:color w:val="000000" w:themeColor="text1"/>
          <w:sz w:val="24"/>
          <w:szCs w:val="24"/>
          <w:shd w:val="clear" w:color="auto" w:fill="FFFFFF"/>
        </w:rPr>
      </w:pPr>
      <w:r>
        <w:rPr>
          <w:rFonts w:asciiTheme="majorBidi" w:hAnsiTheme="majorBidi" w:cstheme="majorBidi"/>
          <w:b/>
          <w:bCs/>
          <w:color w:val="000000" w:themeColor="text1"/>
          <w:sz w:val="24"/>
          <w:szCs w:val="24"/>
          <w:shd w:val="clear" w:color="auto" w:fill="FFFFFF"/>
        </w:rPr>
        <w:t xml:space="preserve">Tableau III.4. </w:t>
      </w:r>
      <w:r w:rsidRPr="006A36FD">
        <w:rPr>
          <w:rFonts w:asciiTheme="majorBidi" w:hAnsiTheme="majorBidi" w:cstheme="majorBidi"/>
          <w:sz w:val="24"/>
          <w:szCs w:val="24"/>
          <w:shd w:val="clear" w:color="auto" w:fill="FFFFFF"/>
        </w:rPr>
        <w:t>Répartition des malades et des témoins en fonction des</w:t>
      </w:r>
      <w:r w:rsidRPr="006A36FD">
        <w:rPr>
          <w:rFonts w:asciiTheme="majorBidi" w:hAnsiTheme="majorBidi" w:cstheme="majorBidi"/>
          <w:color w:val="000000" w:themeColor="text1"/>
          <w:sz w:val="24"/>
          <w:szCs w:val="24"/>
          <w:shd w:val="clear" w:color="auto" w:fill="FFFFFF"/>
        </w:rPr>
        <w:t xml:space="preserve"> taux d’ALAT</w:t>
      </w:r>
    </w:p>
    <w:tbl>
      <w:tblPr>
        <w:tblStyle w:val="Grilleclaire-Accent4"/>
        <w:tblW w:w="8523" w:type="dxa"/>
        <w:jc w:val="center"/>
        <w:tblLook w:val="04A0"/>
      </w:tblPr>
      <w:tblGrid>
        <w:gridCol w:w="2940"/>
        <w:gridCol w:w="1756"/>
        <w:gridCol w:w="1788"/>
        <w:gridCol w:w="1134"/>
        <w:gridCol w:w="905"/>
      </w:tblGrid>
      <w:tr w:rsidR="00C91FA9" w:rsidTr="00C91FA9">
        <w:trPr>
          <w:cnfStyle w:val="100000000000"/>
          <w:trHeight w:val="397"/>
          <w:jc w:val="center"/>
        </w:trPr>
        <w:tc>
          <w:tcPr>
            <w:cnfStyle w:val="001000000000"/>
            <w:tcW w:w="2940" w:type="dxa"/>
            <w:hideMark/>
          </w:tcPr>
          <w:p w:rsidR="00C91FA9" w:rsidRPr="009639A3" w:rsidRDefault="00C91FA9" w:rsidP="00C91FA9">
            <w:pPr>
              <w:spacing w:after="0" w:line="360" w:lineRule="auto"/>
              <w:jc w:val="both"/>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Statut</w:t>
            </w:r>
          </w:p>
        </w:tc>
        <w:tc>
          <w:tcPr>
            <w:tcW w:w="1756" w:type="dxa"/>
            <w:hideMark/>
          </w:tcPr>
          <w:p w:rsidR="00C91FA9"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Témoin %</w:t>
            </w:r>
          </w:p>
        </w:tc>
        <w:tc>
          <w:tcPr>
            <w:tcW w:w="1788" w:type="dxa"/>
            <w:hideMark/>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Echantillon %</w:t>
            </w:r>
          </w:p>
        </w:tc>
        <w:tc>
          <w:tcPr>
            <w:tcW w:w="1134" w:type="dxa"/>
            <w:hideMark/>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χ2</w:t>
            </w:r>
          </w:p>
        </w:tc>
        <w:tc>
          <w:tcPr>
            <w:tcW w:w="905" w:type="dxa"/>
            <w:hideMark/>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P</w:t>
            </w:r>
          </w:p>
        </w:tc>
      </w:tr>
      <w:tr w:rsidR="00C91FA9" w:rsidTr="00C91FA9">
        <w:trPr>
          <w:cnfStyle w:val="000000100000"/>
          <w:trHeight w:val="397"/>
          <w:jc w:val="center"/>
        </w:trPr>
        <w:tc>
          <w:tcPr>
            <w:cnfStyle w:val="001000000000"/>
            <w:tcW w:w="2940" w:type="dxa"/>
            <w:hideMark/>
          </w:tcPr>
          <w:p w:rsidR="00C91FA9" w:rsidRPr="009639A3" w:rsidRDefault="00C91FA9" w:rsidP="00C91FA9">
            <w:pPr>
              <w:spacing w:after="0" w:line="360" w:lineRule="auto"/>
              <w:jc w:val="both"/>
              <w:rPr>
                <w:rFonts w:asciiTheme="majorBidi" w:hAnsiTheme="majorBidi" w:cstheme="majorBidi"/>
                <w:sz w:val="24"/>
                <w:szCs w:val="24"/>
                <w:lang w:eastAsia="fr-FR"/>
              </w:rPr>
            </w:pPr>
            <w:r w:rsidRPr="009639A3">
              <w:rPr>
                <w:rFonts w:asciiTheme="majorBidi" w:hAnsiTheme="majorBidi" w:cstheme="majorBidi"/>
                <w:sz w:val="24"/>
                <w:szCs w:val="24"/>
                <w:lang w:eastAsia="fr-FR"/>
              </w:rPr>
              <w:t>TG</w:t>
            </w:r>
            <w:r>
              <w:rPr>
                <w:rFonts w:asciiTheme="majorBidi" w:hAnsiTheme="majorBidi" w:cstheme="majorBidi"/>
                <w:sz w:val="24"/>
                <w:szCs w:val="24"/>
                <w:lang w:eastAsia="fr-FR"/>
              </w:rPr>
              <w:t>P</w:t>
            </w:r>
          </w:p>
        </w:tc>
        <w:tc>
          <w:tcPr>
            <w:tcW w:w="1756" w:type="dxa"/>
          </w:tcPr>
          <w:p w:rsidR="00C91FA9" w:rsidRPr="009639A3" w:rsidRDefault="00C91FA9" w:rsidP="00C91FA9">
            <w:pPr>
              <w:spacing w:after="0" w:line="360" w:lineRule="auto"/>
              <w:jc w:val="both"/>
              <w:cnfStyle w:val="000000100000"/>
              <w:rPr>
                <w:rFonts w:asciiTheme="majorBidi" w:hAnsiTheme="majorBidi" w:cstheme="majorBidi"/>
                <w:b/>
                <w:bCs/>
                <w:sz w:val="24"/>
                <w:szCs w:val="24"/>
                <w:lang w:eastAsia="fr-FR"/>
              </w:rPr>
            </w:pPr>
          </w:p>
        </w:tc>
        <w:tc>
          <w:tcPr>
            <w:tcW w:w="1788" w:type="dxa"/>
          </w:tcPr>
          <w:p w:rsidR="00C91FA9" w:rsidRPr="009639A3" w:rsidRDefault="00C91FA9" w:rsidP="00C91FA9">
            <w:pPr>
              <w:spacing w:after="0" w:line="360" w:lineRule="auto"/>
              <w:jc w:val="both"/>
              <w:cnfStyle w:val="000000100000"/>
              <w:rPr>
                <w:rFonts w:asciiTheme="majorBidi" w:hAnsiTheme="majorBidi" w:cstheme="majorBidi"/>
                <w:b/>
                <w:bCs/>
                <w:sz w:val="24"/>
                <w:szCs w:val="24"/>
                <w:lang w:eastAsia="fr-FR"/>
              </w:rPr>
            </w:pPr>
          </w:p>
        </w:tc>
        <w:tc>
          <w:tcPr>
            <w:tcW w:w="1134" w:type="dxa"/>
            <w:hideMark/>
          </w:tcPr>
          <w:p w:rsidR="00C91FA9" w:rsidRPr="009639A3" w:rsidRDefault="00C91FA9" w:rsidP="00C91FA9">
            <w:pPr>
              <w:spacing w:after="0" w:line="360" w:lineRule="auto"/>
              <w:jc w:val="both"/>
              <w:cnfStyle w:val="000000100000"/>
              <w:rPr>
                <w:rFonts w:asciiTheme="majorBidi" w:hAnsiTheme="majorBidi" w:cstheme="majorBidi"/>
                <w:b/>
                <w:bCs/>
                <w:sz w:val="24"/>
                <w:szCs w:val="24"/>
                <w:lang w:eastAsia="fr-FR"/>
              </w:rPr>
            </w:pPr>
            <w:r>
              <w:rPr>
                <w:rFonts w:asciiTheme="majorBidi" w:hAnsiTheme="majorBidi" w:cstheme="majorBidi"/>
                <w:b/>
                <w:bCs/>
                <w:sz w:val="24"/>
                <w:szCs w:val="24"/>
                <w:lang w:eastAsia="fr-FR"/>
              </w:rPr>
              <w:t>15,686</w:t>
            </w:r>
          </w:p>
        </w:tc>
        <w:tc>
          <w:tcPr>
            <w:tcW w:w="905" w:type="dxa"/>
            <w:hideMark/>
          </w:tcPr>
          <w:p w:rsidR="00C91FA9" w:rsidRDefault="00C91FA9" w:rsidP="00C91FA9">
            <w:pPr>
              <w:spacing w:after="0" w:line="360" w:lineRule="auto"/>
              <w:jc w:val="both"/>
              <w:cnfStyle w:val="000000100000"/>
              <w:rPr>
                <w:rFonts w:asciiTheme="majorBidi" w:hAnsiTheme="majorBidi" w:cstheme="majorBidi"/>
                <w:b/>
                <w:bCs/>
                <w:sz w:val="24"/>
                <w:szCs w:val="24"/>
                <w:lang w:eastAsia="fr-FR"/>
              </w:rPr>
            </w:pPr>
            <w:r>
              <w:rPr>
                <w:rFonts w:asciiTheme="majorBidi" w:hAnsiTheme="majorBidi" w:cstheme="majorBidi"/>
                <w:b/>
                <w:bCs/>
                <w:sz w:val="24"/>
                <w:szCs w:val="24"/>
                <w:lang w:eastAsia="fr-FR"/>
              </w:rPr>
              <w:t>0.000</w:t>
            </w:r>
          </w:p>
        </w:tc>
      </w:tr>
      <w:tr w:rsidR="00C91FA9" w:rsidTr="00C91FA9">
        <w:trPr>
          <w:cnfStyle w:val="000000010000"/>
          <w:trHeight w:val="397"/>
          <w:jc w:val="center"/>
        </w:trPr>
        <w:tc>
          <w:tcPr>
            <w:cnfStyle w:val="001000000000"/>
            <w:tcW w:w="2940" w:type="dxa"/>
            <w:hideMark/>
          </w:tcPr>
          <w:p w:rsidR="00C91FA9" w:rsidRPr="009639A3" w:rsidRDefault="00C91FA9" w:rsidP="00C91FA9">
            <w:pPr>
              <w:spacing w:after="0" w:line="360" w:lineRule="auto"/>
              <w:jc w:val="both"/>
              <w:rPr>
                <w:rFonts w:asciiTheme="majorBidi" w:hAnsiTheme="majorBidi" w:cstheme="majorBidi"/>
                <w:sz w:val="24"/>
                <w:szCs w:val="24"/>
                <w:lang w:eastAsia="fr-FR"/>
              </w:rPr>
            </w:pPr>
            <w:r w:rsidRPr="009639A3">
              <w:rPr>
                <w:rFonts w:asciiTheme="majorBidi" w:hAnsiTheme="majorBidi" w:cstheme="majorBidi"/>
                <w:sz w:val="24"/>
                <w:szCs w:val="24"/>
                <w:lang w:eastAsia="fr-FR"/>
              </w:rPr>
              <w:t>Hyper-TGP</w:t>
            </w:r>
          </w:p>
        </w:tc>
        <w:tc>
          <w:tcPr>
            <w:tcW w:w="1756" w:type="dxa"/>
            <w:hideMark/>
          </w:tcPr>
          <w:p w:rsidR="00C91FA9" w:rsidRPr="009639A3" w:rsidRDefault="00C91FA9" w:rsidP="00C91FA9">
            <w:pPr>
              <w:spacing w:after="0" w:line="360" w:lineRule="auto"/>
              <w:jc w:val="both"/>
              <w:cnfStyle w:val="000000010000"/>
              <w:rPr>
                <w:rFonts w:asciiTheme="majorBidi" w:hAnsiTheme="majorBidi" w:cstheme="majorBidi"/>
                <w:b/>
                <w:bCs/>
                <w:sz w:val="24"/>
                <w:szCs w:val="24"/>
                <w:lang w:eastAsia="fr-FR"/>
              </w:rPr>
            </w:pPr>
            <w:r>
              <w:rPr>
                <w:rFonts w:asciiTheme="majorBidi" w:hAnsiTheme="majorBidi" w:cstheme="majorBidi"/>
                <w:b/>
                <w:bCs/>
                <w:sz w:val="24"/>
                <w:szCs w:val="24"/>
                <w:lang w:eastAsia="fr-FR"/>
              </w:rPr>
              <w:t>05</w:t>
            </w:r>
          </w:p>
        </w:tc>
        <w:tc>
          <w:tcPr>
            <w:tcW w:w="1788" w:type="dxa"/>
            <w:hideMark/>
          </w:tcPr>
          <w:p w:rsidR="00C91FA9" w:rsidRPr="009639A3" w:rsidRDefault="00C91FA9" w:rsidP="00C91FA9">
            <w:pPr>
              <w:spacing w:after="0" w:line="360" w:lineRule="auto"/>
              <w:jc w:val="both"/>
              <w:cnfStyle w:val="000000010000"/>
              <w:rPr>
                <w:rFonts w:asciiTheme="majorBidi" w:hAnsiTheme="majorBidi" w:cstheme="majorBidi"/>
                <w:b/>
                <w:bCs/>
                <w:sz w:val="24"/>
                <w:szCs w:val="24"/>
                <w:lang w:eastAsia="fr-FR"/>
              </w:rPr>
            </w:pPr>
            <w:r>
              <w:rPr>
                <w:rFonts w:asciiTheme="majorBidi" w:hAnsiTheme="majorBidi" w:cstheme="majorBidi"/>
                <w:b/>
                <w:bCs/>
                <w:sz w:val="24"/>
                <w:szCs w:val="24"/>
                <w:lang w:eastAsia="fr-FR"/>
              </w:rPr>
              <w:t>25</w:t>
            </w:r>
          </w:p>
        </w:tc>
        <w:tc>
          <w:tcPr>
            <w:tcW w:w="1134" w:type="dxa"/>
          </w:tcPr>
          <w:p w:rsidR="00C91FA9" w:rsidRPr="009639A3" w:rsidRDefault="00C91FA9" w:rsidP="00C91FA9">
            <w:pPr>
              <w:spacing w:after="0" w:line="360" w:lineRule="auto"/>
              <w:jc w:val="both"/>
              <w:cnfStyle w:val="000000010000"/>
              <w:rPr>
                <w:rFonts w:asciiTheme="majorBidi" w:hAnsiTheme="majorBidi" w:cstheme="majorBidi"/>
                <w:b/>
                <w:bCs/>
                <w:sz w:val="24"/>
                <w:szCs w:val="24"/>
                <w:lang w:eastAsia="fr-FR"/>
              </w:rPr>
            </w:pPr>
          </w:p>
        </w:tc>
        <w:tc>
          <w:tcPr>
            <w:tcW w:w="905" w:type="dxa"/>
          </w:tcPr>
          <w:p w:rsidR="00C91FA9" w:rsidRDefault="00C91FA9" w:rsidP="00C91FA9">
            <w:pPr>
              <w:spacing w:after="0" w:line="360" w:lineRule="auto"/>
              <w:jc w:val="both"/>
              <w:cnfStyle w:val="000000010000"/>
              <w:rPr>
                <w:rFonts w:asciiTheme="majorBidi" w:hAnsiTheme="majorBidi" w:cstheme="majorBidi"/>
                <w:b/>
                <w:bCs/>
                <w:sz w:val="24"/>
                <w:szCs w:val="24"/>
                <w:lang w:eastAsia="fr-FR"/>
              </w:rPr>
            </w:pPr>
          </w:p>
        </w:tc>
      </w:tr>
      <w:tr w:rsidR="00C91FA9" w:rsidTr="00C91FA9">
        <w:trPr>
          <w:cnfStyle w:val="000000100000"/>
          <w:trHeight w:val="397"/>
          <w:jc w:val="center"/>
        </w:trPr>
        <w:tc>
          <w:tcPr>
            <w:cnfStyle w:val="001000000000"/>
            <w:tcW w:w="2940" w:type="dxa"/>
            <w:hideMark/>
          </w:tcPr>
          <w:p w:rsidR="00C91FA9" w:rsidRPr="009639A3" w:rsidRDefault="00C91FA9" w:rsidP="00C91FA9">
            <w:pPr>
              <w:spacing w:after="0" w:line="360" w:lineRule="auto"/>
              <w:jc w:val="both"/>
              <w:rPr>
                <w:rFonts w:asciiTheme="majorBidi" w:hAnsiTheme="majorBidi" w:cstheme="majorBidi"/>
                <w:sz w:val="24"/>
                <w:szCs w:val="24"/>
                <w:lang w:eastAsia="fr-FR"/>
              </w:rPr>
            </w:pPr>
            <w:r w:rsidRPr="009639A3">
              <w:rPr>
                <w:rFonts w:asciiTheme="majorBidi" w:hAnsiTheme="majorBidi" w:cstheme="majorBidi"/>
                <w:sz w:val="24"/>
                <w:szCs w:val="24"/>
                <w:lang w:eastAsia="fr-FR"/>
              </w:rPr>
              <w:t>Normal</w:t>
            </w:r>
          </w:p>
        </w:tc>
        <w:tc>
          <w:tcPr>
            <w:tcW w:w="1756" w:type="dxa"/>
            <w:hideMark/>
          </w:tcPr>
          <w:p w:rsidR="00C91FA9" w:rsidRPr="009639A3" w:rsidRDefault="00C91FA9" w:rsidP="00C91FA9">
            <w:pPr>
              <w:spacing w:after="0" w:line="360" w:lineRule="auto"/>
              <w:jc w:val="both"/>
              <w:cnfStyle w:val="000000100000"/>
              <w:rPr>
                <w:rFonts w:asciiTheme="majorBidi" w:hAnsiTheme="majorBidi" w:cstheme="majorBidi"/>
                <w:b/>
                <w:bCs/>
                <w:sz w:val="24"/>
                <w:szCs w:val="24"/>
                <w:lang w:eastAsia="fr-FR"/>
              </w:rPr>
            </w:pPr>
            <w:r>
              <w:rPr>
                <w:rFonts w:asciiTheme="majorBidi" w:hAnsiTheme="majorBidi" w:cstheme="majorBidi"/>
                <w:b/>
                <w:bCs/>
                <w:sz w:val="24"/>
                <w:szCs w:val="24"/>
                <w:lang w:eastAsia="fr-FR"/>
              </w:rPr>
              <w:t>95</w:t>
            </w:r>
          </w:p>
        </w:tc>
        <w:tc>
          <w:tcPr>
            <w:tcW w:w="1788" w:type="dxa"/>
            <w:hideMark/>
          </w:tcPr>
          <w:p w:rsidR="00C91FA9" w:rsidRPr="009639A3" w:rsidRDefault="00C91FA9" w:rsidP="00C91FA9">
            <w:pPr>
              <w:spacing w:after="0" w:line="360" w:lineRule="auto"/>
              <w:jc w:val="both"/>
              <w:cnfStyle w:val="000000100000"/>
              <w:rPr>
                <w:rFonts w:asciiTheme="majorBidi" w:hAnsiTheme="majorBidi" w:cstheme="majorBidi"/>
                <w:b/>
                <w:bCs/>
                <w:sz w:val="24"/>
                <w:szCs w:val="24"/>
                <w:lang w:eastAsia="fr-FR"/>
              </w:rPr>
            </w:pPr>
            <w:r>
              <w:rPr>
                <w:rFonts w:asciiTheme="majorBidi" w:hAnsiTheme="majorBidi" w:cstheme="majorBidi"/>
                <w:b/>
                <w:bCs/>
                <w:sz w:val="24"/>
                <w:szCs w:val="24"/>
                <w:lang w:eastAsia="fr-FR"/>
              </w:rPr>
              <w:t>75</w:t>
            </w:r>
          </w:p>
        </w:tc>
        <w:tc>
          <w:tcPr>
            <w:tcW w:w="1134" w:type="dxa"/>
          </w:tcPr>
          <w:p w:rsidR="00C91FA9" w:rsidRPr="009639A3" w:rsidRDefault="00C91FA9" w:rsidP="00C91FA9">
            <w:pPr>
              <w:spacing w:after="0" w:line="360" w:lineRule="auto"/>
              <w:jc w:val="both"/>
              <w:cnfStyle w:val="000000100000"/>
              <w:rPr>
                <w:rFonts w:asciiTheme="majorBidi" w:hAnsiTheme="majorBidi" w:cstheme="majorBidi"/>
                <w:b/>
                <w:bCs/>
                <w:sz w:val="24"/>
                <w:szCs w:val="24"/>
                <w:lang w:eastAsia="fr-FR"/>
              </w:rPr>
            </w:pPr>
          </w:p>
        </w:tc>
        <w:tc>
          <w:tcPr>
            <w:tcW w:w="905" w:type="dxa"/>
          </w:tcPr>
          <w:p w:rsidR="00C91FA9" w:rsidRDefault="00C91FA9" w:rsidP="00C91FA9">
            <w:pPr>
              <w:spacing w:after="0" w:line="360" w:lineRule="auto"/>
              <w:jc w:val="both"/>
              <w:cnfStyle w:val="000000100000"/>
              <w:rPr>
                <w:rFonts w:asciiTheme="majorBidi" w:hAnsiTheme="majorBidi" w:cstheme="majorBidi"/>
                <w:b/>
                <w:bCs/>
                <w:sz w:val="24"/>
                <w:szCs w:val="24"/>
                <w:lang w:eastAsia="fr-FR"/>
              </w:rPr>
            </w:pPr>
          </w:p>
        </w:tc>
      </w:tr>
    </w:tbl>
    <w:p w:rsidR="00C91FA9" w:rsidRDefault="00C91FA9" w:rsidP="00C91FA9">
      <w:pPr>
        <w:spacing w:line="360" w:lineRule="auto"/>
        <w:ind w:firstLine="567"/>
        <w:jc w:val="both"/>
        <w:rPr>
          <w:rFonts w:asciiTheme="majorBidi" w:hAnsiTheme="majorBidi" w:cstheme="majorBidi"/>
          <w:color w:val="000000" w:themeColor="text1"/>
          <w:sz w:val="24"/>
          <w:szCs w:val="24"/>
          <w:shd w:val="clear" w:color="auto" w:fill="FFFFFF"/>
        </w:rPr>
      </w:pPr>
    </w:p>
    <w:p w:rsidR="00E54399" w:rsidRDefault="00C91FA9" w:rsidP="00E54399">
      <w:pPr>
        <w:pStyle w:val="Paragraphedeliste"/>
        <w:spacing w:line="360" w:lineRule="auto"/>
        <w:ind w:left="0" w:firstLine="851"/>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Pour le TGP, (75 %) des malades atteints d’hépatite C ont un taux normal, par contre le reste des patients (25%) présentent un taux élevé. Seulement (05 %) des témoins sains ont un taux élevé d’ALAT. cette différence est hautement  significative (p=0000).</w:t>
      </w:r>
    </w:p>
    <w:p w:rsidR="00E54399" w:rsidRDefault="00E54399" w:rsidP="00E54399">
      <w:pPr>
        <w:pStyle w:val="Paragraphedeliste"/>
        <w:spacing w:line="360" w:lineRule="auto"/>
        <w:ind w:left="0" w:firstLine="851"/>
        <w:jc w:val="both"/>
        <w:rPr>
          <w:rFonts w:asciiTheme="majorBidi" w:hAnsiTheme="majorBidi" w:cstheme="majorBidi"/>
          <w:color w:val="000000" w:themeColor="text1"/>
          <w:sz w:val="24"/>
          <w:szCs w:val="24"/>
          <w:shd w:val="clear" w:color="auto" w:fill="FFFFFF"/>
        </w:rPr>
      </w:pPr>
    </w:p>
    <w:p w:rsidR="00C91FA9" w:rsidRPr="00E54399" w:rsidRDefault="00C91FA9" w:rsidP="00E54399">
      <w:pPr>
        <w:pStyle w:val="Paragraphedeliste"/>
        <w:numPr>
          <w:ilvl w:val="1"/>
          <w:numId w:val="54"/>
        </w:numPr>
        <w:spacing w:line="360" w:lineRule="auto"/>
        <w:rPr>
          <w:rFonts w:asciiTheme="majorBidi" w:eastAsiaTheme="minorEastAsia" w:hAnsiTheme="majorBidi" w:cstheme="majorBidi"/>
          <w:b/>
          <w:bCs/>
          <w:color w:val="7030A0"/>
          <w:sz w:val="28"/>
          <w:szCs w:val="28"/>
          <w:lang w:eastAsia="fr-FR"/>
        </w:rPr>
      </w:pPr>
      <w:r w:rsidRPr="00E54399">
        <w:rPr>
          <w:rFonts w:asciiTheme="majorBidi" w:eastAsiaTheme="minorEastAsia" w:hAnsiTheme="majorBidi" w:cstheme="majorBidi"/>
          <w:b/>
          <w:bCs/>
          <w:color w:val="7030A0"/>
          <w:sz w:val="28"/>
          <w:szCs w:val="28"/>
          <w:lang w:eastAsia="fr-FR"/>
        </w:rPr>
        <w:t xml:space="preserve">Répartition des malades et des témoins en fonction des taux de bilirubine totale </w:t>
      </w:r>
    </w:p>
    <w:p w:rsidR="00C91FA9" w:rsidRPr="00301D3D" w:rsidRDefault="00C91FA9" w:rsidP="00C91FA9">
      <w:pPr>
        <w:tabs>
          <w:tab w:val="left" w:pos="2552"/>
          <w:tab w:val="left" w:pos="5793"/>
        </w:tabs>
        <w:spacing w:line="360" w:lineRule="auto"/>
        <w:jc w:val="both"/>
        <w:rPr>
          <w:rFonts w:asciiTheme="majorBidi" w:hAnsiTheme="majorBidi" w:cstheme="majorBidi"/>
          <w:color w:val="000000" w:themeColor="text1"/>
          <w:sz w:val="24"/>
          <w:szCs w:val="24"/>
          <w:shd w:val="clear" w:color="auto" w:fill="FFFFFF"/>
        </w:rPr>
      </w:pPr>
      <w:r w:rsidRPr="00301D3D">
        <w:rPr>
          <w:rFonts w:asciiTheme="majorBidi" w:hAnsiTheme="majorBidi" w:cstheme="majorBidi"/>
          <w:color w:val="000000" w:themeColor="text1"/>
          <w:sz w:val="24"/>
          <w:szCs w:val="24"/>
          <w:shd w:val="clear" w:color="auto" w:fill="FFFFFF"/>
        </w:rPr>
        <w:t xml:space="preserve">Les résultats du </w:t>
      </w:r>
      <w:r w:rsidRPr="00301D3D">
        <w:rPr>
          <w:rFonts w:asciiTheme="majorBidi" w:hAnsiTheme="majorBidi" w:cstheme="majorBidi"/>
          <w:b/>
          <w:bCs/>
          <w:color w:val="000000" w:themeColor="text1"/>
          <w:sz w:val="24"/>
          <w:szCs w:val="24"/>
          <w:shd w:val="clear" w:color="auto" w:fill="FFFFFF"/>
        </w:rPr>
        <w:t>(tableau III.</w:t>
      </w:r>
      <w:r>
        <w:rPr>
          <w:rFonts w:asciiTheme="majorBidi" w:hAnsiTheme="majorBidi" w:cstheme="majorBidi"/>
          <w:b/>
          <w:bCs/>
          <w:color w:val="000000" w:themeColor="text1"/>
          <w:sz w:val="24"/>
          <w:szCs w:val="24"/>
          <w:shd w:val="clear" w:color="auto" w:fill="FFFFFF"/>
        </w:rPr>
        <w:t>5</w:t>
      </w:r>
      <w:r w:rsidRPr="00301D3D">
        <w:rPr>
          <w:rFonts w:asciiTheme="majorBidi" w:hAnsiTheme="majorBidi" w:cstheme="majorBidi"/>
          <w:b/>
          <w:bCs/>
          <w:color w:val="000000" w:themeColor="text1"/>
          <w:sz w:val="24"/>
          <w:szCs w:val="24"/>
          <w:shd w:val="clear" w:color="auto" w:fill="FFFFFF"/>
        </w:rPr>
        <w:t>)</w:t>
      </w:r>
      <w:r w:rsidR="00E54399">
        <w:rPr>
          <w:rFonts w:asciiTheme="majorBidi" w:hAnsiTheme="majorBidi" w:cstheme="majorBidi"/>
          <w:b/>
          <w:bCs/>
          <w:color w:val="000000" w:themeColor="text1"/>
          <w:sz w:val="24"/>
          <w:szCs w:val="24"/>
          <w:shd w:val="clear" w:color="auto" w:fill="FFFFFF"/>
        </w:rPr>
        <w:t xml:space="preserve"> </w:t>
      </w:r>
      <w:r w:rsidRPr="00301D3D">
        <w:rPr>
          <w:rFonts w:asciiTheme="majorBidi" w:hAnsiTheme="majorBidi" w:cstheme="majorBidi"/>
          <w:color w:val="000000" w:themeColor="text1"/>
          <w:sz w:val="24"/>
          <w:szCs w:val="24"/>
          <w:shd w:val="clear" w:color="auto" w:fill="FFFFFF"/>
        </w:rPr>
        <w:t>montrent que le nombre des malades ayant une hyper-BT (31%) est plus élevé par rapport au nombre de  témoins avec (08%). La différence entre ces deux fréquences est hautement significative (p=0000).</w:t>
      </w:r>
    </w:p>
    <w:p w:rsidR="00C91FA9" w:rsidRPr="0056031B" w:rsidRDefault="00C91FA9" w:rsidP="00C91FA9">
      <w:pPr>
        <w:spacing w:line="360" w:lineRule="auto"/>
        <w:jc w:val="center"/>
        <w:rPr>
          <w:rFonts w:asciiTheme="majorBidi" w:eastAsiaTheme="minorEastAsia" w:hAnsiTheme="majorBidi" w:cstheme="majorBidi"/>
          <w:sz w:val="24"/>
          <w:szCs w:val="24"/>
          <w:lang w:eastAsia="fr-FR"/>
        </w:rPr>
      </w:pPr>
      <w:r w:rsidRPr="0056031B">
        <w:rPr>
          <w:rFonts w:asciiTheme="majorBidi" w:eastAsiaTheme="minorEastAsia" w:hAnsiTheme="majorBidi" w:cstheme="majorBidi"/>
          <w:b/>
          <w:bCs/>
          <w:sz w:val="24"/>
          <w:szCs w:val="24"/>
          <w:lang w:eastAsia="fr-FR"/>
        </w:rPr>
        <w:t>Tableau III.</w:t>
      </w:r>
      <w:r>
        <w:rPr>
          <w:rFonts w:asciiTheme="majorBidi" w:eastAsiaTheme="minorEastAsia" w:hAnsiTheme="majorBidi" w:cstheme="majorBidi"/>
          <w:b/>
          <w:bCs/>
          <w:sz w:val="24"/>
          <w:szCs w:val="24"/>
          <w:lang w:eastAsia="fr-FR"/>
        </w:rPr>
        <w:t>5</w:t>
      </w:r>
      <w:r w:rsidRPr="0056031B">
        <w:rPr>
          <w:rFonts w:asciiTheme="majorBidi" w:eastAsiaTheme="minorEastAsia" w:hAnsiTheme="majorBidi" w:cstheme="majorBidi"/>
          <w:sz w:val="24"/>
          <w:szCs w:val="24"/>
          <w:lang w:eastAsia="fr-FR"/>
        </w:rPr>
        <w:t xml:space="preserve">. </w:t>
      </w:r>
      <w:r w:rsidRPr="0056031B">
        <w:rPr>
          <w:rFonts w:asciiTheme="majorBidi" w:hAnsiTheme="majorBidi" w:cstheme="majorBidi"/>
          <w:sz w:val="24"/>
          <w:szCs w:val="24"/>
          <w:shd w:val="clear" w:color="auto" w:fill="FFFFFF"/>
        </w:rPr>
        <w:t>Répartition des malades et des témoins en fonction des taux de bilirubine totale</w:t>
      </w:r>
    </w:p>
    <w:tbl>
      <w:tblPr>
        <w:tblStyle w:val="Grilleclaire-Accent4"/>
        <w:tblW w:w="8755" w:type="dxa"/>
        <w:jc w:val="center"/>
        <w:tblLook w:val="04A0"/>
      </w:tblPr>
      <w:tblGrid>
        <w:gridCol w:w="3171"/>
        <w:gridCol w:w="1559"/>
        <w:gridCol w:w="1843"/>
        <w:gridCol w:w="1048"/>
        <w:gridCol w:w="1134"/>
      </w:tblGrid>
      <w:tr w:rsidR="00C91FA9" w:rsidRPr="00E721E8" w:rsidTr="00C91FA9">
        <w:trPr>
          <w:cnfStyle w:val="100000000000"/>
          <w:trHeight w:val="397"/>
          <w:jc w:val="center"/>
        </w:trPr>
        <w:tc>
          <w:tcPr>
            <w:cnfStyle w:val="001000000000"/>
            <w:tcW w:w="3171" w:type="dxa"/>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Statut</w:t>
            </w:r>
          </w:p>
        </w:tc>
        <w:tc>
          <w:tcPr>
            <w:tcW w:w="1559"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Témoin</w:t>
            </w:r>
            <w:r>
              <w:rPr>
                <w:rFonts w:asciiTheme="majorBidi" w:hAnsiTheme="majorBidi" w:cstheme="majorBidi"/>
                <w:sz w:val="24"/>
                <w:szCs w:val="24"/>
                <w:shd w:val="clear" w:color="auto" w:fill="FFFFFF"/>
              </w:rPr>
              <w:t xml:space="preserve"> %</w:t>
            </w:r>
          </w:p>
        </w:tc>
        <w:tc>
          <w:tcPr>
            <w:tcW w:w="1843"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Echantillon</w:t>
            </w:r>
            <w:r>
              <w:rPr>
                <w:rFonts w:asciiTheme="majorBidi" w:hAnsiTheme="majorBidi" w:cstheme="majorBidi"/>
                <w:sz w:val="24"/>
                <w:szCs w:val="24"/>
                <w:shd w:val="clear" w:color="auto" w:fill="FFFFFF"/>
              </w:rPr>
              <w:t xml:space="preserve"> %</w:t>
            </w:r>
          </w:p>
        </w:tc>
        <w:tc>
          <w:tcPr>
            <w:tcW w:w="1048"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χ2</w:t>
            </w:r>
          </w:p>
        </w:tc>
        <w:tc>
          <w:tcPr>
            <w:tcW w:w="1134"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P</w:t>
            </w:r>
          </w:p>
        </w:tc>
      </w:tr>
      <w:tr w:rsidR="00C91FA9" w:rsidRPr="00303677" w:rsidTr="00C91FA9">
        <w:trPr>
          <w:cnfStyle w:val="000000100000"/>
          <w:trHeight w:val="397"/>
          <w:jc w:val="center"/>
        </w:trPr>
        <w:tc>
          <w:tcPr>
            <w:cnfStyle w:val="001000000000"/>
            <w:tcW w:w="3171" w:type="dxa"/>
          </w:tcPr>
          <w:p w:rsidR="00C91FA9" w:rsidRPr="00E721E8" w:rsidRDefault="00C91FA9" w:rsidP="00C91FA9">
            <w:pPr>
              <w:spacing w:line="360" w:lineRule="auto"/>
              <w:jc w:val="both"/>
              <w:rPr>
                <w:rFonts w:asciiTheme="majorBidi" w:hAnsiTheme="majorBidi" w:cstheme="majorBidi"/>
                <w:sz w:val="24"/>
                <w:szCs w:val="24"/>
              </w:rPr>
            </w:pPr>
            <w:r>
              <w:rPr>
                <w:rFonts w:asciiTheme="majorBidi" w:hAnsiTheme="majorBidi" w:cstheme="majorBidi"/>
                <w:sz w:val="24"/>
                <w:szCs w:val="24"/>
              </w:rPr>
              <w:t>Bilirubine totale</w:t>
            </w:r>
          </w:p>
        </w:tc>
        <w:tc>
          <w:tcPr>
            <w:tcW w:w="1559"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843"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048" w:type="dxa"/>
          </w:tcPr>
          <w:p w:rsidR="00C91FA9" w:rsidRPr="005F419F" w:rsidRDefault="00C91FA9" w:rsidP="00C91FA9">
            <w:pPr>
              <w:spacing w:line="360" w:lineRule="auto"/>
              <w:jc w:val="both"/>
              <w:cnfStyle w:val="000000100000"/>
              <w:rPr>
                <w:rFonts w:asciiTheme="majorBidi" w:hAnsiTheme="majorBidi" w:cstheme="majorBidi"/>
                <w:b/>
                <w:bCs/>
                <w:sz w:val="24"/>
                <w:szCs w:val="24"/>
              </w:rPr>
            </w:pPr>
            <w:r w:rsidRPr="005F419F">
              <w:rPr>
                <w:rFonts w:asciiTheme="majorBidi" w:hAnsiTheme="majorBidi" w:cstheme="majorBidi"/>
                <w:b/>
                <w:bCs/>
                <w:sz w:val="24"/>
                <w:szCs w:val="24"/>
              </w:rPr>
              <w:t>16,850</w:t>
            </w:r>
          </w:p>
        </w:tc>
        <w:tc>
          <w:tcPr>
            <w:tcW w:w="1134" w:type="dxa"/>
          </w:tcPr>
          <w:p w:rsidR="00C91FA9" w:rsidRPr="005F419F" w:rsidRDefault="00C91FA9" w:rsidP="00C91FA9">
            <w:pPr>
              <w:spacing w:line="360" w:lineRule="auto"/>
              <w:jc w:val="both"/>
              <w:cnfStyle w:val="000000100000"/>
              <w:rPr>
                <w:rFonts w:asciiTheme="majorBidi" w:hAnsiTheme="majorBidi" w:cstheme="majorBidi"/>
                <w:b/>
                <w:bCs/>
                <w:sz w:val="24"/>
                <w:szCs w:val="24"/>
              </w:rPr>
            </w:pPr>
            <w:r w:rsidRPr="005F419F">
              <w:rPr>
                <w:rFonts w:asciiTheme="majorBidi" w:hAnsiTheme="majorBidi" w:cstheme="majorBidi"/>
                <w:b/>
                <w:bCs/>
                <w:sz w:val="24"/>
                <w:szCs w:val="24"/>
              </w:rPr>
              <w:t>0,000</w:t>
            </w:r>
          </w:p>
        </w:tc>
      </w:tr>
      <w:tr w:rsidR="00C91FA9" w:rsidRPr="00303677" w:rsidTr="00C91FA9">
        <w:trPr>
          <w:cnfStyle w:val="000000010000"/>
          <w:trHeight w:val="397"/>
          <w:jc w:val="center"/>
        </w:trPr>
        <w:tc>
          <w:tcPr>
            <w:cnfStyle w:val="001000000000"/>
            <w:tcW w:w="3171" w:type="dxa"/>
          </w:tcPr>
          <w:p w:rsidR="00C91FA9" w:rsidRPr="00E721E8" w:rsidRDefault="00C91FA9" w:rsidP="00C91FA9">
            <w:pPr>
              <w:spacing w:line="360" w:lineRule="auto"/>
              <w:jc w:val="both"/>
              <w:rPr>
                <w:rFonts w:asciiTheme="majorBidi" w:hAnsiTheme="majorBidi" w:cstheme="majorBidi"/>
                <w:sz w:val="24"/>
                <w:szCs w:val="24"/>
              </w:rPr>
            </w:pPr>
            <w:r>
              <w:rPr>
                <w:rFonts w:asciiTheme="majorBidi" w:hAnsiTheme="majorBidi" w:cstheme="majorBidi"/>
                <w:sz w:val="24"/>
                <w:szCs w:val="24"/>
              </w:rPr>
              <w:t>Hyper-BT</w:t>
            </w:r>
          </w:p>
        </w:tc>
        <w:tc>
          <w:tcPr>
            <w:tcW w:w="1559" w:type="dxa"/>
          </w:tcPr>
          <w:p w:rsidR="00C91FA9" w:rsidRPr="005F419F" w:rsidRDefault="00C91FA9" w:rsidP="00C91FA9">
            <w:pPr>
              <w:spacing w:line="360" w:lineRule="auto"/>
              <w:jc w:val="both"/>
              <w:cnfStyle w:val="000000010000"/>
              <w:rPr>
                <w:rFonts w:asciiTheme="majorBidi" w:hAnsiTheme="majorBidi" w:cstheme="majorBidi"/>
                <w:b/>
                <w:bCs/>
                <w:sz w:val="24"/>
                <w:szCs w:val="24"/>
              </w:rPr>
            </w:pPr>
            <w:r w:rsidRPr="005F419F">
              <w:rPr>
                <w:rFonts w:asciiTheme="majorBidi" w:hAnsiTheme="majorBidi" w:cstheme="majorBidi"/>
                <w:b/>
                <w:bCs/>
                <w:sz w:val="24"/>
                <w:szCs w:val="24"/>
              </w:rPr>
              <w:t xml:space="preserve">     08</w:t>
            </w:r>
          </w:p>
        </w:tc>
        <w:tc>
          <w:tcPr>
            <w:tcW w:w="1843" w:type="dxa"/>
          </w:tcPr>
          <w:p w:rsidR="00C91FA9" w:rsidRPr="005F419F" w:rsidRDefault="00C91FA9" w:rsidP="00C91FA9">
            <w:pPr>
              <w:spacing w:line="360" w:lineRule="auto"/>
              <w:jc w:val="both"/>
              <w:cnfStyle w:val="000000010000"/>
              <w:rPr>
                <w:rFonts w:asciiTheme="majorBidi" w:hAnsiTheme="majorBidi" w:cstheme="majorBidi"/>
                <w:b/>
                <w:bCs/>
                <w:sz w:val="24"/>
                <w:szCs w:val="24"/>
              </w:rPr>
            </w:pPr>
            <w:r w:rsidRPr="005F419F">
              <w:rPr>
                <w:rFonts w:asciiTheme="majorBidi" w:hAnsiTheme="majorBidi" w:cstheme="majorBidi"/>
                <w:b/>
                <w:bCs/>
                <w:sz w:val="24"/>
                <w:szCs w:val="24"/>
              </w:rPr>
              <w:t>31</w:t>
            </w:r>
          </w:p>
        </w:tc>
        <w:tc>
          <w:tcPr>
            <w:tcW w:w="1048"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p>
        </w:tc>
        <w:tc>
          <w:tcPr>
            <w:tcW w:w="1134"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p>
        </w:tc>
      </w:tr>
      <w:tr w:rsidR="00C91FA9" w:rsidRPr="00303677" w:rsidTr="00C91FA9">
        <w:trPr>
          <w:cnfStyle w:val="000000100000"/>
          <w:trHeight w:val="397"/>
          <w:jc w:val="center"/>
        </w:trPr>
        <w:tc>
          <w:tcPr>
            <w:cnfStyle w:val="001000000000"/>
            <w:tcW w:w="3171" w:type="dxa"/>
          </w:tcPr>
          <w:p w:rsidR="00C91FA9" w:rsidRPr="00E721E8" w:rsidRDefault="00C91FA9" w:rsidP="00C91FA9">
            <w:pPr>
              <w:spacing w:line="360" w:lineRule="auto"/>
              <w:jc w:val="both"/>
              <w:rPr>
                <w:rFonts w:asciiTheme="majorBidi" w:hAnsiTheme="majorBidi" w:cstheme="majorBidi"/>
                <w:sz w:val="24"/>
                <w:szCs w:val="24"/>
              </w:rPr>
            </w:pPr>
            <w:r w:rsidRPr="00E721E8">
              <w:rPr>
                <w:rFonts w:asciiTheme="majorBidi" w:hAnsiTheme="majorBidi" w:cstheme="majorBidi"/>
                <w:sz w:val="24"/>
                <w:szCs w:val="24"/>
              </w:rPr>
              <w:t>N</w:t>
            </w:r>
            <w:r>
              <w:rPr>
                <w:rFonts w:asciiTheme="majorBidi" w:hAnsiTheme="majorBidi" w:cstheme="majorBidi"/>
                <w:sz w:val="24"/>
                <w:szCs w:val="24"/>
              </w:rPr>
              <w:t>ormal</w:t>
            </w:r>
          </w:p>
        </w:tc>
        <w:tc>
          <w:tcPr>
            <w:tcW w:w="1559" w:type="dxa"/>
          </w:tcPr>
          <w:p w:rsidR="00C91FA9" w:rsidRPr="005F419F" w:rsidRDefault="00C91FA9" w:rsidP="00C91FA9">
            <w:pPr>
              <w:spacing w:line="360" w:lineRule="auto"/>
              <w:jc w:val="both"/>
              <w:cnfStyle w:val="000000100000"/>
              <w:rPr>
                <w:rFonts w:asciiTheme="majorBidi" w:hAnsiTheme="majorBidi" w:cstheme="majorBidi"/>
                <w:b/>
                <w:bCs/>
                <w:sz w:val="24"/>
                <w:szCs w:val="24"/>
              </w:rPr>
            </w:pPr>
            <w:r w:rsidRPr="005F419F">
              <w:rPr>
                <w:rFonts w:asciiTheme="majorBidi" w:hAnsiTheme="majorBidi" w:cstheme="majorBidi"/>
                <w:b/>
                <w:bCs/>
                <w:sz w:val="24"/>
                <w:szCs w:val="24"/>
              </w:rPr>
              <w:t>92</w:t>
            </w:r>
          </w:p>
        </w:tc>
        <w:tc>
          <w:tcPr>
            <w:tcW w:w="1843" w:type="dxa"/>
          </w:tcPr>
          <w:p w:rsidR="00C91FA9" w:rsidRPr="005F419F" w:rsidRDefault="00C91FA9" w:rsidP="00C91FA9">
            <w:pPr>
              <w:spacing w:line="360" w:lineRule="auto"/>
              <w:jc w:val="both"/>
              <w:cnfStyle w:val="000000100000"/>
              <w:rPr>
                <w:rFonts w:asciiTheme="majorBidi" w:hAnsiTheme="majorBidi" w:cstheme="majorBidi"/>
                <w:b/>
                <w:bCs/>
                <w:sz w:val="24"/>
                <w:szCs w:val="24"/>
              </w:rPr>
            </w:pPr>
            <w:r w:rsidRPr="005F419F">
              <w:rPr>
                <w:rFonts w:asciiTheme="majorBidi" w:hAnsiTheme="majorBidi" w:cstheme="majorBidi"/>
                <w:b/>
                <w:bCs/>
                <w:sz w:val="24"/>
                <w:szCs w:val="24"/>
              </w:rPr>
              <w:t xml:space="preserve"> 69</w:t>
            </w:r>
          </w:p>
        </w:tc>
        <w:tc>
          <w:tcPr>
            <w:tcW w:w="1048"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134"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r>
    </w:tbl>
    <w:p w:rsidR="00C91FA9" w:rsidRDefault="00C91FA9" w:rsidP="00C91FA9">
      <w:pPr>
        <w:tabs>
          <w:tab w:val="left" w:pos="5793"/>
        </w:tabs>
        <w:jc w:val="both"/>
        <w:rPr>
          <w:rFonts w:asciiTheme="majorBidi" w:hAnsiTheme="majorBidi" w:cstheme="majorBidi"/>
          <w:color w:val="000000" w:themeColor="text1"/>
          <w:sz w:val="24"/>
          <w:szCs w:val="24"/>
          <w:shd w:val="clear" w:color="auto" w:fill="FFFFFF"/>
        </w:rPr>
      </w:pPr>
    </w:p>
    <w:p w:rsidR="00C91FA9" w:rsidRDefault="00C91FA9" w:rsidP="00C91FA9">
      <w:pPr>
        <w:tabs>
          <w:tab w:val="left" w:pos="2552"/>
          <w:tab w:val="left" w:pos="5793"/>
        </w:tabs>
        <w:spacing w:line="360" w:lineRule="auto"/>
        <w:jc w:val="both"/>
        <w:rPr>
          <w:rFonts w:asciiTheme="majorBidi" w:hAnsiTheme="majorBidi" w:cstheme="majorBidi"/>
          <w:color w:val="000000" w:themeColor="text1"/>
          <w:sz w:val="24"/>
          <w:szCs w:val="24"/>
          <w:shd w:val="clear" w:color="auto" w:fill="FFFFFF"/>
        </w:rPr>
      </w:pPr>
    </w:p>
    <w:p w:rsidR="00C91FA9" w:rsidRPr="00E54399" w:rsidRDefault="00C91FA9" w:rsidP="00E54399">
      <w:pPr>
        <w:pStyle w:val="Paragraphedeliste"/>
        <w:numPr>
          <w:ilvl w:val="1"/>
          <w:numId w:val="54"/>
        </w:numPr>
        <w:spacing w:line="360" w:lineRule="auto"/>
        <w:rPr>
          <w:rFonts w:asciiTheme="majorBidi" w:eastAsiaTheme="minorEastAsia" w:hAnsiTheme="majorBidi" w:cstheme="majorBidi"/>
          <w:b/>
          <w:bCs/>
          <w:color w:val="7030A0"/>
          <w:sz w:val="28"/>
          <w:szCs w:val="28"/>
          <w:lang w:eastAsia="fr-FR"/>
        </w:rPr>
      </w:pPr>
      <w:r w:rsidRPr="00E54399">
        <w:rPr>
          <w:rFonts w:asciiTheme="majorBidi" w:eastAsiaTheme="minorEastAsia" w:hAnsiTheme="majorBidi" w:cstheme="majorBidi"/>
          <w:b/>
          <w:bCs/>
          <w:color w:val="7030A0"/>
          <w:sz w:val="28"/>
          <w:szCs w:val="28"/>
          <w:lang w:eastAsia="fr-FR"/>
        </w:rPr>
        <w:lastRenderedPageBreak/>
        <w:t>Répartition des malades et des témoins en fonction des taux de bilirubine directe</w:t>
      </w:r>
    </w:p>
    <w:p w:rsidR="00C91FA9" w:rsidRPr="00AB3308" w:rsidRDefault="00C91FA9" w:rsidP="004E2073">
      <w:pPr>
        <w:spacing w:line="360" w:lineRule="auto"/>
        <w:ind w:left="142" w:firstLine="566"/>
        <w:rPr>
          <w:rFonts w:asciiTheme="majorBidi" w:eastAsiaTheme="minorEastAsia" w:hAnsiTheme="majorBidi" w:cstheme="majorBidi"/>
          <w:sz w:val="24"/>
          <w:szCs w:val="24"/>
          <w:lang w:eastAsia="fr-FR"/>
        </w:rPr>
      </w:pPr>
      <w:r w:rsidRPr="00AB3308">
        <w:rPr>
          <w:rFonts w:asciiTheme="majorBidi" w:eastAsiaTheme="minorEastAsia" w:hAnsiTheme="majorBidi" w:cstheme="majorBidi"/>
          <w:sz w:val="24"/>
          <w:szCs w:val="24"/>
          <w:lang w:eastAsia="fr-FR"/>
        </w:rPr>
        <w:t>La répartition de l’échantillon en fonction des taux de bilirubine directe</w:t>
      </w:r>
      <w:r>
        <w:rPr>
          <w:rFonts w:asciiTheme="majorBidi" w:eastAsiaTheme="minorEastAsia" w:hAnsiTheme="majorBidi" w:cstheme="majorBidi"/>
          <w:sz w:val="24"/>
          <w:szCs w:val="24"/>
          <w:lang w:eastAsia="fr-FR"/>
        </w:rPr>
        <w:t xml:space="preserve"> est représentée dans le tableau III.6</w:t>
      </w:r>
    </w:p>
    <w:p w:rsidR="00C91FA9" w:rsidRPr="0056031B" w:rsidRDefault="00C91FA9" w:rsidP="00C91FA9">
      <w:pPr>
        <w:spacing w:line="360" w:lineRule="auto"/>
        <w:jc w:val="center"/>
        <w:rPr>
          <w:rFonts w:asciiTheme="majorBidi" w:hAnsiTheme="majorBidi" w:cstheme="majorBidi"/>
          <w:sz w:val="24"/>
          <w:szCs w:val="24"/>
          <w:shd w:val="clear" w:color="auto" w:fill="FFFFFF"/>
        </w:rPr>
      </w:pPr>
      <w:r w:rsidRPr="0056031B">
        <w:rPr>
          <w:rFonts w:asciiTheme="majorBidi" w:eastAsiaTheme="minorEastAsia" w:hAnsiTheme="majorBidi" w:cstheme="majorBidi"/>
          <w:b/>
          <w:bCs/>
          <w:sz w:val="24"/>
          <w:szCs w:val="24"/>
          <w:lang w:eastAsia="fr-FR"/>
        </w:rPr>
        <w:t>Tableau III.</w:t>
      </w:r>
      <w:r>
        <w:rPr>
          <w:rFonts w:asciiTheme="majorBidi" w:eastAsiaTheme="minorEastAsia" w:hAnsiTheme="majorBidi" w:cstheme="majorBidi"/>
          <w:b/>
          <w:bCs/>
          <w:sz w:val="24"/>
          <w:szCs w:val="24"/>
          <w:lang w:eastAsia="fr-FR"/>
        </w:rPr>
        <w:t>6</w:t>
      </w:r>
      <w:r w:rsidRPr="0056031B">
        <w:rPr>
          <w:rFonts w:asciiTheme="majorBidi" w:eastAsiaTheme="minorEastAsia" w:hAnsiTheme="majorBidi" w:cstheme="majorBidi"/>
          <w:b/>
          <w:bCs/>
          <w:sz w:val="24"/>
          <w:szCs w:val="24"/>
          <w:lang w:eastAsia="fr-FR"/>
        </w:rPr>
        <w:t xml:space="preserve">. </w:t>
      </w:r>
      <w:r w:rsidRPr="0056031B">
        <w:rPr>
          <w:rFonts w:asciiTheme="majorBidi" w:hAnsiTheme="majorBidi" w:cstheme="majorBidi"/>
          <w:sz w:val="24"/>
          <w:szCs w:val="24"/>
          <w:shd w:val="clear" w:color="auto" w:fill="FFFFFF"/>
        </w:rPr>
        <w:t>Répartition des malades et des témoins en fonction des taux de bilirubine directe</w:t>
      </w:r>
    </w:p>
    <w:tbl>
      <w:tblPr>
        <w:tblStyle w:val="Grilleclaire-Accent4"/>
        <w:tblW w:w="8755" w:type="dxa"/>
        <w:jc w:val="center"/>
        <w:tblLook w:val="04A0"/>
      </w:tblPr>
      <w:tblGrid>
        <w:gridCol w:w="3171"/>
        <w:gridCol w:w="1559"/>
        <w:gridCol w:w="1843"/>
        <w:gridCol w:w="1048"/>
        <w:gridCol w:w="1134"/>
      </w:tblGrid>
      <w:tr w:rsidR="00C91FA9" w:rsidRPr="00E721E8" w:rsidTr="00C91FA9">
        <w:trPr>
          <w:cnfStyle w:val="100000000000"/>
          <w:trHeight w:val="397"/>
          <w:jc w:val="center"/>
        </w:trPr>
        <w:tc>
          <w:tcPr>
            <w:cnfStyle w:val="001000000000"/>
            <w:tcW w:w="3171" w:type="dxa"/>
          </w:tcPr>
          <w:p w:rsidR="00C91FA9" w:rsidRPr="00E721E8" w:rsidRDefault="00C91FA9" w:rsidP="00C91FA9">
            <w:pPr>
              <w:spacing w:line="360" w:lineRule="auto"/>
              <w:jc w:val="both"/>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Statut</w:t>
            </w:r>
          </w:p>
        </w:tc>
        <w:tc>
          <w:tcPr>
            <w:tcW w:w="1559"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Témoin</w:t>
            </w:r>
            <w:r>
              <w:rPr>
                <w:rFonts w:asciiTheme="majorBidi" w:hAnsiTheme="majorBidi" w:cstheme="majorBidi"/>
                <w:sz w:val="24"/>
                <w:szCs w:val="24"/>
                <w:shd w:val="clear" w:color="auto" w:fill="FFFFFF"/>
              </w:rPr>
              <w:t xml:space="preserve"> %</w:t>
            </w:r>
          </w:p>
        </w:tc>
        <w:tc>
          <w:tcPr>
            <w:tcW w:w="1843"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Echantillon</w:t>
            </w:r>
            <w:r>
              <w:rPr>
                <w:rFonts w:asciiTheme="majorBidi" w:hAnsiTheme="majorBidi" w:cstheme="majorBidi"/>
                <w:sz w:val="24"/>
                <w:szCs w:val="24"/>
                <w:shd w:val="clear" w:color="auto" w:fill="FFFFFF"/>
              </w:rPr>
              <w:t xml:space="preserve"> %</w:t>
            </w:r>
          </w:p>
        </w:tc>
        <w:tc>
          <w:tcPr>
            <w:tcW w:w="1048"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χ2</w:t>
            </w:r>
          </w:p>
        </w:tc>
        <w:tc>
          <w:tcPr>
            <w:tcW w:w="1134" w:type="dxa"/>
          </w:tcPr>
          <w:p w:rsidR="00C91FA9" w:rsidRPr="00E721E8" w:rsidRDefault="00C91FA9" w:rsidP="00C91FA9">
            <w:pPr>
              <w:spacing w:line="360" w:lineRule="auto"/>
              <w:jc w:val="both"/>
              <w:cnfStyle w:val="100000000000"/>
              <w:rPr>
                <w:rFonts w:asciiTheme="majorBidi" w:hAnsiTheme="majorBidi" w:cstheme="majorBidi"/>
                <w:sz w:val="24"/>
                <w:szCs w:val="24"/>
                <w:shd w:val="clear" w:color="auto" w:fill="FFFFFF"/>
              </w:rPr>
            </w:pPr>
            <w:r w:rsidRPr="00E721E8">
              <w:rPr>
                <w:rFonts w:asciiTheme="majorBidi" w:hAnsiTheme="majorBidi" w:cstheme="majorBidi"/>
                <w:sz w:val="24"/>
                <w:szCs w:val="24"/>
                <w:shd w:val="clear" w:color="auto" w:fill="FFFFFF"/>
              </w:rPr>
              <w:t>P</w:t>
            </w:r>
          </w:p>
        </w:tc>
      </w:tr>
      <w:tr w:rsidR="00C91FA9" w:rsidRPr="00303677" w:rsidTr="00C91FA9">
        <w:trPr>
          <w:cnfStyle w:val="000000100000"/>
          <w:trHeight w:val="397"/>
          <w:jc w:val="center"/>
        </w:trPr>
        <w:tc>
          <w:tcPr>
            <w:cnfStyle w:val="001000000000"/>
            <w:tcW w:w="3171" w:type="dxa"/>
          </w:tcPr>
          <w:p w:rsidR="00C91FA9" w:rsidRPr="00E721E8" w:rsidRDefault="00C91FA9" w:rsidP="00C91FA9">
            <w:pPr>
              <w:spacing w:line="360" w:lineRule="auto"/>
              <w:jc w:val="both"/>
              <w:rPr>
                <w:rFonts w:asciiTheme="majorBidi" w:hAnsiTheme="majorBidi" w:cstheme="majorBidi"/>
                <w:sz w:val="24"/>
                <w:szCs w:val="24"/>
              </w:rPr>
            </w:pPr>
            <w:r>
              <w:rPr>
                <w:rFonts w:asciiTheme="majorBidi" w:hAnsiTheme="majorBidi" w:cstheme="majorBidi"/>
                <w:sz w:val="24"/>
                <w:szCs w:val="24"/>
              </w:rPr>
              <w:t>Bilirubine directe</w:t>
            </w:r>
          </w:p>
        </w:tc>
        <w:tc>
          <w:tcPr>
            <w:tcW w:w="1559"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843"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048" w:type="dxa"/>
          </w:tcPr>
          <w:p w:rsidR="00C91FA9" w:rsidRPr="005F419F"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14,624</w:t>
            </w:r>
          </w:p>
        </w:tc>
        <w:tc>
          <w:tcPr>
            <w:tcW w:w="1134" w:type="dxa"/>
          </w:tcPr>
          <w:p w:rsidR="00C91FA9" w:rsidRPr="005F419F" w:rsidRDefault="00C91FA9" w:rsidP="00C91FA9">
            <w:pPr>
              <w:spacing w:line="360" w:lineRule="auto"/>
              <w:jc w:val="both"/>
              <w:cnfStyle w:val="000000100000"/>
              <w:rPr>
                <w:rFonts w:asciiTheme="majorBidi" w:hAnsiTheme="majorBidi" w:cstheme="majorBidi"/>
                <w:b/>
                <w:bCs/>
                <w:sz w:val="24"/>
                <w:szCs w:val="24"/>
              </w:rPr>
            </w:pPr>
            <w:r w:rsidRPr="005F419F">
              <w:rPr>
                <w:rFonts w:asciiTheme="majorBidi" w:hAnsiTheme="majorBidi" w:cstheme="majorBidi"/>
                <w:b/>
                <w:bCs/>
                <w:sz w:val="24"/>
                <w:szCs w:val="24"/>
              </w:rPr>
              <w:t>0,000</w:t>
            </w:r>
          </w:p>
        </w:tc>
      </w:tr>
      <w:tr w:rsidR="00C91FA9" w:rsidRPr="00303677" w:rsidTr="00C91FA9">
        <w:trPr>
          <w:cnfStyle w:val="000000010000"/>
          <w:trHeight w:val="397"/>
          <w:jc w:val="center"/>
        </w:trPr>
        <w:tc>
          <w:tcPr>
            <w:cnfStyle w:val="001000000000"/>
            <w:tcW w:w="3171" w:type="dxa"/>
          </w:tcPr>
          <w:p w:rsidR="00C91FA9" w:rsidRPr="00E721E8" w:rsidRDefault="00C91FA9" w:rsidP="00C91FA9">
            <w:pPr>
              <w:spacing w:line="360" w:lineRule="auto"/>
              <w:jc w:val="both"/>
              <w:rPr>
                <w:rFonts w:asciiTheme="majorBidi" w:hAnsiTheme="majorBidi" w:cstheme="majorBidi"/>
                <w:sz w:val="24"/>
                <w:szCs w:val="24"/>
              </w:rPr>
            </w:pPr>
            <w:r>
              <w:rPr>
                <w:rFonts w:asciiTheme="majorBidi" w:hAnsiTheme="majorBidi" w:cstheme="majorBidi"/>
                <w:sz w:val="24"/>
                <w:szCs w:val="24"/>
              </w:rPr>
              <w:t>Hyper BD</w:t>
            </w:r>
          </w:p>
        </w:tc>
        <w:tc>
          <w:tcPr>
            <w:tcW w:w="1559" w:type="dxa"/>
          </w:tcPr>
          <w:p w:rsidR="00C91FA9" w:rsidRPr="005F419F" w:rsidRDefault="00C91FA9" w:rsidP="00C91FA9">
            <w:pPr>
              <w:spacing w:line="360" w:lineRule="auto"/>
              <w:jc w:val="both"/>
              <w:cnfStyle w:val="000000010000"/>
              <w:rPr>
                <w:rFonts w:asciiTheme="majorBidi" w:hAnsiTheme="majorBidi" w:cstheme="majorBidi"/>
                <w:b/>
                <w:bCs/>
                <w:sz w:val="24"/>
                <w:szCs w:val="24"/>
              </w:rPr>
            </w:pPr>
            <w:r w:rsidRPr="005F419F">
              <w:rPr>
                <w:rFonts w:asciiTheme="majorBidi" w:hAnsiTheme="majorBidi" w:cstheme="majorBidi"/>
                <w:b/>
                <w:bCs/>
                <w:sz w:val="24"/>
                <w:szCs w:val="24"/>
              </w:rPr>
              <w:t xml:space="preserve">     08</w:t>
            </w:r>
          </w:p>
        </w:tc>
        <w:tc>
          <w:tcPr>
            <w:tcW w:w="1843" w:type="dxa"/>
          </w:tcPr>
          <w:p w:rsidR="00C91FA9" w:rsidRPr="005F419F" w:rsidRDefault="00C91FA9" w:rsidP="00C91FA9">
            <w:pPr>
              <w:spacing w:line="360" w:lineRule="auto"/>
              <w:jc w:val="both"/>
              <w:cnfStyle w:val="000000010000"/>
              <w:rPr>
                <w:rFonts w:asciiTheme="majorBidi" w:hAnsiTheme="majorBidi" w:cstheme="majorBidi"/>
                <w:b/>
                <w:bCs/>
                <w:sz w:val="24"/>
                <w:szCs w:val="24"/>
              </w:rPr>
            </w:pPr>
            <w:r>
              <w:rPr>
                <w:rFonts w:asciiTheme="majorBidi" w:hAnsiTheme="majorBidi" w:cstheme="majorBidi"/>
                <w:b/>
                <w:bCs/>
                <w:sz w:val="24"/>
                <w:szCs w:val="24"/>
              </w:rPr>
              <w:t xml:space="preserve">           29</w:t>
            </w:r>
          </w:p>
        </w:tc>
        <w:tc>
          <w:tcPr>
            <w:tcW w:w="1048"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p>
        </w:tc>
        <w:tc>
          <w:tcPr>
            <w:tcW w:w="1134" w:type="dxa"/>
          </w:tcPr>
          <w:p w:rsidR="00C91FA9" w:rsidRPr="00303677" w:rsidRDefault="00C91FA9" w:rsidP="00C91FA9">
            <w:pPr>
              <w:spacing w:line="360" w:lineRule="auto"/>
              <w:jc w:val="both"/>
              <w:cnfStyle w:val="000000010000"/>
              <w:rPr>
                <w:rFonts w:asciiTheme="majorBidi" w:hAnsiTheme="majorBidi" w:cstheme="majorBidi"/>
                <w:b/>
                <w:bCs/>
                <w:sz w:val="24"/>
                <w:szCs w:val="24"/>
              </w:rPr>
            </w:pPr>
          </w:p>
        </w:tc>
      </w:tr>
      <w:tr w:rsidR="00C91FA9" w:rsidRPr="00303677" w:rsidTr="00C91FA9">
        <w:trPr>
          <w:cnfStyle w:val="000000100000"/>
          <w:trHeight w:val="397"/>
          <w:jc w:val="center"/>
        </w:trPr>
        <w:tc>
          <w:tcPr>
            <w:cnfStyle w:val="001000000000"/>
            <w:tcW w:w="3171" w:type="dxa"/>
          </w:tcPr>
          <w:p w:rsidR="00C91FA9" w:rsidRPr="00E721E8" w:rsidRDefault="00C91FA9" w:rsidP="00C91FA9">
            <w:pPr>
              <w:spacing w:line="360" w:lineRule="auto"/>
              <w:jc w:val="both"/>
              <w:rPr>
                <w:rFonts w:asciiTheme="majorBidi" w:hAnsiTheme="majorBidi" w:cstheme="majorBidi"/>
                <w:sz w:val="24"/>
                <w:szCs w:val="24"/>
              </w:rPr>
            </w:pPr>
            <w:r w:rsidRPr="00E721E8">
              <w:rPr>
                <w:rFonts w:asciiTheme="majorBidi" w:hAnsiTheme="majorBidi" w:cstheme="majorBidi"/>
                <w:sz w:val="24"/>
                <w:szCs w:val="24"/>
              </w:rPr>
              <w:t>N</w:t>
            </w:r>
            <w:r>
              <w:rPr>
                <w:rFonts w:asciiTheme="majorBidi" w:hAnsiTheme="majorBidi" w:cstheme="majorBidi"/>
                <w:sz w:val="24"/>
                <w:szCs w:val="24"/>
              </w:rPr>
              <w:t>ormal</w:t>
            </w:r>
          </w:p>
        </w:tc>
        <w:tc>
          <w:tcPr>
            <w:tcW w:w="1559" w:type="dxa"/>
          </w:tcPr>
          <w:p w:rsidR="00C91FA9" w:rsidRPr="005F419F" w:rsidRDefault="00C91FA9" w:rsidP="00C91FA9">
            <w:pPr>
              <w:spacing w:line="360" w:lineRule="auto"/>
              <w:jc w:val="both"/>
              <w:cnfStyle w:val="000000100000"/>
              <w:rPr>
                <w:rFonts w:asciiTheme="majorBidi" w:hAnsiTheme="majorBidi" w:cstheme="majorBidi"/>
                <w:b/>
                <w:bCs/>
                <w:sz w:val="24"/>
                <w:szCs w:val="24"/>
              </w:rPr>
            </w:pPr>
            <w:r w:rsidRPr="005F419F">
              <w:rPr>
                <w:rFonts w:asciiTheme="majorBidi" w:hAnsiTheme="majorBidi" w:cstheme="majorBidi"/>
                <w:b/>
                <w:bCs/>
                <w:sz w:val="24"/>
                <w:szCs w:val="24"/>
              </w:rPr>
              <w:t>92</w:t>
            </w:r>
          </w:p>
        </w:tc>
        <w:tc>
          <w:tcPr>
            <w:tcW w:w="1843" w:type="dxa"/>
          </w:tcPr>
          <w:p w:rsidR="00C91FA9" w:rsidRPr="005F419F"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 xml:space="preserve">           71</w:t>
            </w:r>
          </w:p>
        </w:tc>
        <w:tc>
          <w:tcPr>
            <w:tcW w:w="1048"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c>
          <w:tcPr>
            <w:tcW w:w="1134" w:type="dxa"/>
          </w:tcPr>
          <w:p w:rsidR="00C91FA9" w:rsidRPr="00303677" w:rsidRDefault="00C91FA9" w:rsidP="00C91FA9">
            <w:pPr>
              <w:spacing w:line="360" w:lineRule="auto"/>
              <w:jc w:val="both"/>
              <w:cnfStyle w:val="000000100000"/>
              <w:rPr>
                <w:rFonts w:asciiTheme="majorBidi" w:hAnsiTheme="majorBidi" w:cstheme="majorBidi"/>
                <w:b/>
                <w:bCs/>
                <w:sz w:val="24"/>
                <w:szCs w:val="24"/>
              </w:rPr>
            </w:pPr>
          </w:p>
        </w:tc>
      </w:tr>
    </w:tbl>
    <w:p w:rsidR="00C91FA9" w:rsidRDefault="00C91FA9" w:rsidP="00C91FA9">
      <w:pPr>
        <w:pStyle w:val="Paragraphedeliste"/>
        <w:spacing w:line="360" w:lineRule="auto"/>
        <w:ind w:left="450"/>
        <w:rPr>
          <w:rFonts w:asciiTheme="majorBidi" w:eastAsiaTheme="minorEastAsia" w:hAnsiTheme="majorBidi" w:cstheme="majorBidi"/>
          <w:b/>
          <w:bCs/>
          <w:sz w:val="24"/>
          <w:szCs w:val="24"/>
          <w:lang w:eastAsia="fr-FR"/>
        </w:rPr>
      </w:pPr>
    </w:p>
    <w:p w:rsidR="00C91FA9" w:rsidRDefault="00C91FA9" w:rsidP="00C91FA9">
      <w:pPr>
        <w:spacing w:line="360" w:lineRule="auto"/>
        <w:ind w:left="142"/>
        <w:rPr>
          <w:rFonts w:asciiTheme="majorBidi" w:hAnsiTheme="majorBidi" w:cstheme="majorBidi"/>
          <w:color w:val="000000" w:themeColor="text1"/>
          <w:sz w:val="24"/>
          <w:szCs w:val="24"/>
          <w:shd w:val="clear" w:color="auto" w:fill="FFFFFF"/>
        </w:rPr>
      </w:pPr>
      <w:r w:rsidRPr="0090113C">
        <w:rPr>
          <w:rFonts w:asciiTheme="majorBidi" w:hAnsiTheme="majorBidi" w:cstheme="majorBidi"/>
          <w:color w:val="000000" w:themeColor="text1"/>
          <w:sz w:val="24"/>
          <w:szCs w:val="24"/>
          <w:shd w:val="clear" w:color="auto" w:fill="FFFFFF"/>
        </w:rPr>
        <w:t xml:space="preserve">              En ce qui concerne le taux de BD, 29 % des malades atteints d’hépatite C ont un taux élevé, par contre le reste des patients (71%) présente un taux normal. En outre seulement </w:t>
      </w:r>
      <w:r>
        <w:rPr>
          <w:rFonts w:asciiTheme="majorBidi" w:hAnsiTheme="majorBidi" w:cstheme="majorBidi"/>
          <w:color w:val="000000" w:themeColor="text1"/>
          <w:sz w:val="24"/>
          <w:szCs w:val="24"/>
          <w:shd w:val="clear" w:color="auto" w:fill="FFFFFF"/>
        </w:rPr>
        <w:t>(08</w:t>
      </w:r>
      <w:r w:rsidRPr="0090113C">
        <w:rPr>
          <w:rFonts w:asciiTheme="majorBidi" w:hAnsiTheme="majorBidi" w:cstheme="majorBidi"/>
          <w:color w:val="000000" w:themeColor="text1"/>
          <w:sz w:val="24"/>
          <w:szCs w:val="24"/>
          <w:shd w:val="clear" w:color="auto" w:fill="FFFFFF"/>
        </w:rPr>
        <w:t>%</w:t>
      </w:r>
      <w:r>
        <w:rPr>
          <w:rFonts w:asciiTheme="majorBidi" w:hAnsiTheme="majorBidi" w:cstheme="majorBidi"/>
          <w:color w:val="000000" w:themeColor="text1"/>
          <w:sz w:val="24"/>
          <w:szCs w:val="24"/>
          <w:shd w:val="clear" w:color="auto" w:fill="FFFFFF"/>
        </w:rPr>
        <w:t>)</w:t>
      </w:r>
      <w:r w:rsidRPr="0090113C">
        <w:rPr>
          <w:rFonts w:asciiTheme="majorBidi" w:hAnsiTheme="majorBidi" w:cstheme="majorBidi"/>
          <w:color w:val="000000" w:themeColor="text1"/>
          <w:sz w:val="24"/>
          <w:szCs w:val="24"/>
          <w:shd w:val="clear" w:color="auto" w:fill="FFFFFF"/>
        </w:rPr>
        <w:t xml:space="preserve"> des témoins ont un taux élevé de BD. </w:t>
      </w:r>
      <w:r>
        <w:rPr>
          <w:rFonts w:asciiTheme="majorBidi" w:hAnsiTheme="majorBidi" w:cstheme="majorBidi"/>
          <w:color w:val="000000" w:themeColor="text1"/>
          <w:sz w:val="24"/>
          <w:szCs w:val="24"/>
          <w:shd w:val="clear" w:color="auto" w:fill="FFFFFF"/>
        </w:rPr>
        <w:t>C</w:t>
      </w:r>
      <w:r w:rsidRPr="0090113C">
        <w:rPr>
          <w:rFonts w:asciiTheme="majorBidi" w:hAnsiTheme="majorBidi" w:cstheme="majorBidi"/>
          <w:color w:val="000000" w:themeColor="text1"/>
          <w:sz w:val="24"/>
          <w:szCs w:val="24"/>
          <w:shd w:val="clear" w:color="auto" w:fill="FFFFFF"/>
        </w:rPr>
        <w:t>ette différence est hautement significative</w:t>
      </w:r>
      <w:r>
        <w:rPr>
          <w:rFonts w:asciiTheme="majorBidi" w:hAnsiTheme="majorBidi" w:cstheme="majorBidi"/>
          <w:color w:val="000000" w:themeColor="text1"/>
          <w:sz w:val="24"/>
          <w:szCs w:val="24"/>
          <w:shd w:val="clear" w:color="auto" w:fill="FFFFFF"/>
        </w:rPr>
        <w:t xml:space="preserve"> (</w:t>
      </w:r>
      <w:r w:rsidRPr="0090113C">
        <w:rPr>
          <w:rFonts w:asciiTheme="majorBidi" w:hAnsiTheme="majorBidi" w:cstheme="majorBidi"/>
          <w:color w:val="000000" w:themeColor="text1"/>
          <w:sz w:val="24"/>
          <w:szCs w:val="24"/>
          <w:shd w:val="clear" w:color="auto" w:fill="FFFFFF"/>
        </w:rPr>
        <w:t>p=0.000</w:t>
      </w:r>
      <w:r>
        <w:rPr>
          <w:rFonts w:asciiTheme="majorBidi" w:hAnsiTheme="majorBidi" w:cstheme="majorBidi"/>
          <w:color w:val="000000" w:themeColor="text1"/>
          <w:sz w:val="24"/>
          <w:szCs w:val="24"/>
          <w:shd w:val="clear" w:color="auto" w:fill="FFFFFF"/>
        </w:rPr>
        <w:t>)</w:t>
      </w:r>
      <w:r w:rsidRPr="0090113C">
        <w:rPr>
          <w:rFonts w:asciiTheme="majorBidi" w:hAnsiTheme="majorBidi" w:cstheme="majorBidi"/>
          <w:color w:val="000000" w:themeColor="text1"/>
          <w:sz w:val="24"/>
          <w:szCs w:val="24"/>
          <w:shd w:val="clear" w:color="auto" w:fill="FFFFFF"/>
        </w:rPr>
        <w:t>.</w:t>
      </w:r>
    </w:p>
    <w:p w:rsidR="00C91FA9" w:rsidRPr="00E54399" w:rsidRDefault="00C91FA9" w:rsidP="00E54399">
      <w:pPr>
        <w:pStyle w:val="Paragraphedeliste"/>
        <w:numPr>
          <w:ilvl w:val="1"/>
          <w:numId w:val="54"/>
        </w:numPr>
        <w:spacing w:line="360" w:lineRule="auto"/>
        <w:jc w:val="both"/>
        <w:rPr>
          <w:rFonts w:asciiTheme="majorBidi" w:eastAsiaTheme="minorEastAsia" w:hAnsiTheme="majorBidi" w:cstheme="majorBidi"/>
          <w:b/>
          <w:bCs/>
          <w:color w:val="7030A0"/>
          <w:sz w:val="28"/>
          <w:szCs w:val="28"/>
          <w:lang w:eastAsia="fr-FR"/>
        </w:rPr>
      </w:pPr>
      <w:r w:rsidRPr="00E54399">
        <w:rPr>
          <w:rFonts w:asciiTheme="majorBidi" w:eastAsiaTheme="minorEastAsia" w:hAnsiTheme="majorBidi" w:cstheme="majorBidi"/>
          <w:b/>
          <w:bCs/>
          <w:color w:val="7030A0"/>
          <w:sz w:val="28"/>
          <w:szCs w:val="28"/>
          <w:lang w:eastAsia="fr-FR"/>
        </w:rPr>
        <w:t xml:space="preserve">Répartition des malades et des témoins en fonction des taux de protéine totale </w:t>
      </w:r>
    </w:p>
    <w:p w:rsidR="00C91FA9" w:rsidRPr="005D5773" w:rsidRDefault="00E54399" w:rsidP="00A86FCA">
      <w:pPr>
        <w:tabs>
          <w:tab w:val="left" w:pos="2054"/>
        </w:tabs>
        <w:spacing w:line="36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                  </w:t>
      </w:r>
      <w:r w:rsidR="00C91FA9" w:rsidRPr="005D5773">
        <w:rPr>
          <w:rFonts w:asciiTheme="majorBidi" w:hAnsiTheme="majorBidi" w:cstheme="majorBidi"/>
          <w:color w:val="000000" w:themeColor="text1"/>
          <w:sz w:val="24"/>
          <w:szCs w:val="24"/>
          <w:shd w:val="clear" w:color="auto" w:fill="FFFFFF"/>
        </w:rPr>
        <w:t xml:space="preserve">Le nombre des patients atteints d’hépatite C ayant une hyper PT est élevé par rapport aux </w:t>
      </w:r>
      <w:r w:rsidR="00A86FCA">
        <w:rPr>
          <w:rFonts w:asciiTheme="majorBidi" w:hAnsiTheme="majorBidi" w:cstheme="majorBidi"/>
          <w:color w:val="000000" w:themeColor="text1"/>
          <w:sz w:val="24"/>
          <w:szCs w:val="24"/>
          <w:shd w:val="clear" w:color="auto" w:fill="FFFFFF"/>
        </w:rPr>
        <w:t xml:space="preserve">témoins avec un  moyen de </w:t>
      </w:r>
      <w:r w:rsidR="00A86FCA" w:rsidRPr="00A86FCA">
        <w:rPr>
          <w:rFonts w:asciiTheme="majorBidi" w:hAnsiTheme="majorBidi" w:cstheme="majorBidi"/>
          <w:sz w:val="24"/>
          <w:szCs w:val="24"/>
        </w:rPr>
        <w:t xml:space="preserve">73,88g/l </w:t>
      </w:r>
      <w:r w:rsidR="00C91FA9" w:rsidRPr="00A86FCA">
        <w:rPr>
          <w:rFonts w:asciiTheme="majorBidi" w:hAnsiTheme="majorBidi" w:cstheme="majorBidi"/>
          <w:color w:val="000000" w:themeColor="text1"/>
          <w:sz w:val="24"/>
          <w:szCs w:val="24"/>
          <w:shd w:val="clear" w:color="auto" w:fill="FFFFFF"/>
        </w:rPr>
        <w:t>vs</w:t>
      </w:r>
      <w:r>
        <w:rPr>
          <w:rFonts w:asciiTheme="majorBidi" w:hAnsiTheme="majorBidi" w:cstheme="majorBidi"/>
          <w:color w:val="000000" w:themeColor="text1"/>
          <w:sz w:val="24"/>
          <w:szCs w:val="24"/>
          <w:shd w:val="clear" w:color="auto" w:fill="FFFFFF"/>
        </w:rPr>
        <w:t xml:space="preserve"> </w:t>
      </w:r>
      <w:r w:rsidR="004E2073">
        <w:rPr>
          <w:rFonts w:asciiTheme="majorBidi" w:hAnsiTheme="majorBidi" w:cstheme="majorBidi"/>
          <w:sz w:val="24"/>
          <w:szCs w:val="24"/>
        </w:rPr>
        <w:t>69,24</w:t>
      </w:r>
      <w:r w:rsidR="00A86FCA" w:rsidRPr="00A86FCA">
        <w:rPr>
          <w:rFonts w:asciiTheme="majorBidi" w:hAnsiTheme="majorBidi" w:cstheme="majorBidi"/>
          <w:sz w:val="24"/>
          <w:szCs w:val="24"/>
        </w:rPr>
        <w:t xml:space="preserve">g/l </w:t>
      </w:r>
      <w:r w:rsidR="00C91FA9" w:rsidRPr="005D5773">
        <w:rPr>
          <w:rFonts w:asciiTheme="majorBidi" w:hAnsiTheme="majorBidi" w:cstheme="majorBidi"/>
          <w:color w:val="000000" w:themeColor="text1"/>
          <w:sz w:val="24"/>
          <w:szCs w:val="24"/>
          <w:shd w:val="clear" w:color="auto" w:fill="FFFFFF"/>
        </w:rPr>
        <w:t>(</w:t>
      </w:r>
      <w:r w:rsidR="00C91FA9" w:rsidRPr="00A84386">
        <w:rPr>
          <w:rFonts w:asciiTheme="majorBidi" w:hAnsiTheme="majorBidi" w:cstheme="majorBidi"/>
          <w:b/>
          <w:bCs/>
          <w:color w:val="000000" w:themeColor="text1"/>
          <w:sz w:val="24"/>
          <w:szCs w:val="24"/>
          <w:shd w:val="clear" w:color="auto" w:fill="FFFFFF"/>
        </w:rPr>
        <w:t>Tableau III.</w:t>
      </w:r>
      <w:r w:rsidR="00C91FA9">
        <w:rPr>
          <w:rFonts w:asciiTheme="majorBidi" w:hAnsiTheme="majorBidi" w:cstheme="majorBidi"/>
          <w:b/>
          <w:bCs/>
          <w:color w:val="000000" w:themeColor="text1"/>
          <w:sz w:val="24"/>
          <w:szCs w:val="24"/>
          <w:shd w:val="clear" w:color="auto" w:fill="FFFFFF"/>
        </w:rPr>
        <w:t>7</w:t>
      </w:r>
      <w:r w:rsidR="00C91FA9" w:rsidRPr="00A84386">
        <w:rPr>
          <w:rFonts w:asciiTheme="majorBidi" w:hAnsiTheme="majorBidi" w:cstheme="majorBidi"/>
          <w:b/>
          <w:bCs/>
          <w:color w:val="000000" w:themeColor="text1"/>
          <w:sz w:val="24"/>
          <w:szCs w:val="24"/>
          <w:shd w:val="clear" w:color="auto" w:fill="FFFFFF"/>
        </w:rPr>
        <w:t>).</w:t>
      </w:r>
      <w:r w:rsidR="00C91FA9" w:rsidRPr="005D5773">
        <w:rPr>
          <w:rFonts w:asciiTheme="majorBidi" w:hAnsiTheme="majorBidi" w:cstheme="majorBidi"/>
          <w:color w:val="000000" w:themeColor="text1"/>
          <w:sz w:val="24"/>
          <w:szCs w:val="24"/>
          <w:shd w:val="clear" w:color="auto" w:fill="FFFFFF"/>
        </w:rPr>
        <w:t xml:space="preserve"> La différence entre ces deux fréquences </w:t>
      </w:r>
      <w:r w:rsidR="00A86FCA">
        <w:rPr>
          <w:rFonts w:asciiTheme="majorBidi" w:hAnsiTheme="majorBidi" w:cstheme="majorBidi"/>
          <w:color w:val="000000" w:themeColor="text1"/>
          <w:sz w:val="24"/>
          <w:szCs w:val="24"/>
          <w:shd w:val="clear" w:color="auto" w:fill="FFFFFF"/>
        </w:rPr>
        <w:t xml:space="preserve">est hautement </w:t>
      </w:r>
      <w:r w:rsidR="00C91FA9" w:rsidRPr="005D5773">
        <w:rPr>
          <w:rFonts w:asciiTheme="majorBidi" w:hAnsiTheme="majorBidi" w:cstheme="majorBidi"/>
          <w:color w:val="000000" w:themeColor="text1"/>
          <w:sz w:val="24"/>
          <w:szCs w:val="24"/>
          <w:shd w:val="clear" w:color="auto" w:fill="FFFFFF"/>
        </w:rPr>
        <w:t>significative</w:t>
      </w:r>
      <w:r w:rsidR="00C91FA9">
        <w:rPr>
          <w:rFonts w:asciiTheme="majorBidi" w:hAnsiTheme="majorBidi" w:cstheme="majorBidi"/>
          <w:color w:val="000000" w:themeColor="text1"/>
          <w:sz w:val="24"/>
          <w:szCs w:val="24"/>
          <w:shd w:val="clear" w:color="auto" w:fill="FFFFFF"/>
        </w:rPr>
        <w:t xml:space="preserve"> (</w:t>
      </w:r>
      <w:r w:rsidR="00C91FA9" w:rsidRPr="005D5773">
        <w:rPr>
          <w:rFonts w:asciiTheme="majorBidi" w:hAnsiTheme="majorBidi" w:cstheme="majorBidi"/>
          <w:color w:val="000000" w:themeColor="text1"/>
          <w:sz w:val="24"/>
          <w:szCs w:val="24"/>
          <w:shd w:val="clear" w:color="auto" w:fill="FFFFFF"/>
        </w:rPr>
        <w:t>p=0,0</w:t>
      </w:r>
      <w:r w:rsidR="00A86FCA">
        <w:rPr>
          <w:rFonts w:asciiTheme="majorBidi" w:hAnsiTheme="majorBidi" w:cstheme="majorBidi"/>
          <w:color w:val="000000" w:themeColor="text1"/>
          <w:sz w:val="24"/>
          <w:szCs w:val="24"/>
          <w:shd w:val="clear" w:color="auto" w:fill="FFFFFF"/>
        </w:rPr>
        <w:t>00</w:t>
      </w:r>
      <w:r w:rsidR="00C91FA9">
        <w:rPr>
          <w:rFonts w:asciiTheme="majorBidi" w:hAnsiTheme="majorBidi" w:cstheme="majorBidi"/>
          <w:color w:val="000000" w:themeColor="text1"/>
          <w:sz w:val="24"/>
          <w:szCs w:val="24"/>
          <w:shd w:val="clear" w:color="auto" w:fill="FFFFFF"/>
        </w:rPr>
        <w:t>).</w:t>
      </w:r>
    </w:p>
    <w:p w:rsidR="00C91FA9" w:rsidRPr="00131951" w:rsidRDefault="00C91FA9" w:rsidP="00C91FA9">
      <w:pPr>
        <w:spacing w:line="360" w:lineRule="auto"/>
        <w:jc w:val="center"/>
        <w:rPr>
          <w:rFonts w:asciiTheme="majorBidi" w:hAnsiTheme="majorBidi" w:cstheme="majorBidi"/>
          <w:sz w:val="24"/>
          <w:szCs w:val="24"/>
          <w:shd w:val="clear" w:color="auto" w:fill="FFFFFF"/>
        </w:rPr>
      </w:pPr>
      <w:r w:rsidRPr="00131951">
        <w:rPr>
          <w:rFonts w:asciiTheme="majorBidi" w:eastAsiaTheme="minorEastAsia" w:hAnsiTheme="majorBidi" w:cstheme="majorBidi"/>
          <w:b/>
          <w:bCs/>
          <w:sz w:val="24"/>
          <w:szCs w:val="24"/>
          <w:lang w:eastAsia="fr-FR"/>
        </w:rPr>
        <w:t>Tableau III.</w:t>
      </w:r>
      <w:r>
        <w:rPr>
          <w:rFonts w:asciiTheme="majorBidi" w:eastAsiaTheme="minorEastAsia" w:hAnsiTheme="majorBidi" w:cstheme="majorBidi"/>
          <w:b/>
          <w:bCs/>
          <w:sz w:val="24"/>
          <w:szCs w:val="24"/>
          <w:lang w:eastAsia="fr-FR"/>
        </w:rPr>
        <w:t>7</w:t>
      </w:r>
      <w:r w:rsidRPr="00131951">
        <w:rPr>
          <w:rFonts w:asciiTheme="majorBidi" w:eastAsiaTheme="minorEastAsia" w:hAnsiTheme="majorBidi" w:cstheme="majorBidi"/>
          <w:b/>
          <w:bCs/>
          <w:sz w:val="24"/>
          <w:szCs w:val="24"/>
          <w:lang w:eastAsia="fr-FR"/>
        </w:rPr>
        <w:t xml:space="preserve">. </w:t>
      </w:r>
      <w:r w:rsidRPr="00131951">
        <w:rPr>
          <w:rFonts w:asciiTheme="majorBidi" w:hAnsiTheme="majorBidi" w:cstheme="majorBidi"/>
          <w:sz w:val="24"/>
          <w:szCs w:val="24"/>
          <w:shd w:val="clear" w:color="auto" w:fill="FFFFFF"/>
        </w:rPr>
        <w:t>Répartition des malades et des témoins en fonction des taux de protéine totale</w:t>
      </w:r>
    </w:p>
    <w:tbl>
      <w:tblPr>
        <w:tblStyle w:val="Grilleclaire-Accent4"/>
        <w:tblW w:w="8755" w:type="dxa"/>
        <w:jc w:val="center"/>
        <w:tblLook w:val="04A0"/>
      </w:tblPr>
      <w:tblGrid>
        <w:gridCol w:w="3171"/>
        <w:gridCol w:w="1559"/>
        <w:gridCol w:w="1843"/>
        <w:gridCol w:w="1048"/>
        <w:gridCol w:w="1134"/>
      </w:tblGrid>
      <w:tr w:rsidR="00C91FA9" w:rsidTr="00C91FA9">
        <w:trPr>
          <w:cnfStyle w:val="100000000000"/>
          <w:trHeight w:val="397"/>
          <w:jc w:val="center"/>
        </w:trPr>
        <w:tc>
          <w:tcPr>
            <w:cnfStyle w:val="001000000000"/>
            <w:tcW w:w="3171" w:type="dxa"/>
            <w:hideMark/>
          </w:tcPr>
          <w:p w:rsidR="00C91FA9" w:rsidRDefault="00C91FA9" w:rsidP="00C91FA9">
            <w:pPr>
              <w:spacing w:line="360" w:lineRule="auto"/>
              <w:jc w:val="both"/>
              <w:rPr>
                <w:rFonts w:asciiTheme="majorBidi" w:hAnsiTheme="majorBidi"/>
                <w:sz w:val="24"/>
                <w:szCs w:val="24"/>
                <w:shd w:val="clear" w:color="auto" w:fill="FFFFFF"/>
              </w:rPr>
            </w:pPr>
            <w:r>
              <w:rPr>
                <w:rFonts w:asciiTheme="majorBidi" w:hAnsiTheme="majorBidi"/>
                <w:sz w:val="24"/>
                <w:szCs w:val="24"/>
                <w:shd w:val="clear" w:color="auto" w:fill="FFFFFF"/>
              </w:rPr>
              <w:t>Statut</w:t>
            </w:r>
          </w:p>
        </w:tc>
        <w:tc>
          <w:tcPr>
            <w:tcW w:w="1559" w:type="dxa"/>
            <w:hideMark/>
          </w:tcPr>
          <w:p w:rsidR="00C91FA9" w:rsidRDefault="00C91FA9" w:rsidP="00C91FA9">
            <w:pPr>
              <w:spacing w:line="360" w:lineRule="auto"/>
              <w:jc w:val="both"/>
              <w:cnfStyle w:val="100000000000"/>
              <w:rPr>
                <w:rFonts w:asciiTheme="majorBidi" w:hAnsiTheme="majorBidi"/>
                <w:sz w:val="24"/>
                <w:szCs w:val="24"/>
                <w:shd w:val="clear" w:color="auto" w:fill="FFFFFF"/>
              </w:rPr>
            </w:pPr>
            <w:r>
              <w:rPr>
                <w:rFonts w:asciiTheme="majorBidi" w:hAnsiTheme="majorBidi"/>
                <w:sz w:val="24"/>
                <w:szCs w:val="24"/>
                <w:shd w:val="clear" w:color="auto" w:fill="FFFFFF"/>
              </w:rPr>
              <w:t xml:space="preserve">Témoin </w:t>
            </w:r>
          </w:p>
        </w:tc>
        <w:tc>
          <w:tcPr>
            <w:tcW w:w="1843" w:type="dxa"/>
            <w:hideMark/>
          </w:tcPr>
          <w:p w:rsidR="00C91FA9" w:rsidRDefault="00C91FA9" w:rsidP="00C91FA9">
            <w:pPr>
              <w:spacing w:line="360" w:lineRule="auto"/>
              <w:jc w:val="both"/>
              <w:cnfStyle w:val="100000000000"/>
              <w:rPr>
                <w:rFonts w:asciiTheme="majorBidi" w:hAnsiTheme="majorBidi"/>
                <w:sz w:val="24"/>
                <w:szCs w:val="24"/>
                <w:shd w:val="clear" w:color="auto" w:fill="FFFFFF"/>
              </w:rPr>
            </w:pPr>
            <w:r>
              <w:rPr>
                <w:rFonts w:asciiTheme="majorBidi" w:hAnsiTheme="majorBidi"/>
                <w:sz w:val="24"/>
                <w:szCs w:val="24"/>
                <w:shd w:val="clear" w:color="auto" w:fill="FFFFFF"/>
              </w:rPr>
              <w:t xml:space="preserve">Echantillon </w:t>
            </w:r>
          </w:p>
        </w:tc>
        <w:tc>
          <w:tcPr>
            <w:tcW w:w="1048" w:type="dxa"/>
            <w:hideMark/>
          </w:tcPr>
          <w:p w:rsidR="00C91FA9" w:rsidRDefault="00C91FA9" w:rsidP="00C91FA9">
            <w:pPr>
              <w:spacing w:line="360" w:lineRule="auto"/>
              <w:jc w:val="both"/>
              <w:cnfStyle w:val="100000000000"/>
              <w:rPr>
                <w:rFonts w:asciiTheme="majorBidi" w:hAnsiTheme="majorBidi"/>
                <w:sz w:val="24"/>
                <w:szCs w:val="24"/>
                <w:shd w:val="clear" w:color="auto" w:fill="FFFFFF"/>
              </w:rPr>
            </w:pPr>
            <w:r>
              <w:rPr>
                <w:rFonts w:asciiTheme="majorBidi" w:hAnsiTheme="majorBidi"/>
                <w:sz w:val="24"/>
                <w:szCs w:val="24"/>
                <w:shd w:val="clear" w:color="auto" w:fill="FFFFFF"/>
              </w:rPr>
              <w:t>T</w:t>
            </w:r>
          </w:p>
        </w:tc>
        <w:tc>
          <w:tcPr>
            <w:tcW w:w="1134" w:type="dxa"/>
            <w:hideMark/>
          </w:tcPr>
          <w:p w:rsidR="00C91FA9" w:rsidRDefault="00C91FA9" w:rsidP="00C91FA9">
            <w:pPr>
              <w:spacing w:line="360" w:lineRule="auto"/>
              <w:jc w:val="both"/>
              <w:cnfStyle w:val="100000000000"/>
              <w:rPr>
                <w:rFonts w:asciiTheme="majorBidi" w:hAnsiTheme="majorBidi"/>
                <w:sz w:val="24"/>
                <w:szCs w:val="24"/>
                <w:shd w:val="clear" w:color="auto" w:fill="FFFFFF"/>
              </w:rPr>
            </w:pPr>
            <w:r>
              <w:rPr>
                <w:rFonts w:asciiTheme="majorBidi" w:hAnsiTheme="majorBidi"/>
                <w:sz w:val="24"/>
                <w:szCs w:val="24"/>
                <w:shd w:val="clear" w:color="auto" w:fill="FFFFFF"/>
              </w:rPr>
              <w:t>P</w:t>
            </w:r>
          </w:p>
        </w:tc>
      </w:tr>
      <w:tr w:rsidR="00C91FA9" w:rsidTr="00C91FA9">
        <w:trPr>
          <w:cnfStyle w:val="000000100000"/>
          <w:trHeight w:val="397"/>
          <w:jc w:val="center"/>
        </w:trPr>
        <w:tc>
          <w:tcPr>
            <w:cnfStyle w:val="001000000000"/>
            <w:tcW w:w="3171" w:type="dxa"/>
            <w:hideMark/>
          </w:tcPr>
          <w:p w:rsidR="00C91FA9" w:rsidRDefault="00C91FA9" w:rsidP="00C91FA9">
            <w:pPr>
              <w:spacing w:line="360" w:lineRule="auto"/>
              <w:jc w:val="both"/>
              <w:rPr>
                <w:rFonts w:asciiTheme="majorBidi" w:hAnsiTheme="majorBidi"/>
                <w:sz w:val="24"/>
                <w:szCs w:val="24"/>
              </w:rPr>
            </w:pPr>
            <w:r>
              <w:rPr>
                <w:rFonts w:asciiTheme="majorBidi" w:hAnsiTheme="majorBidi"/>
                <w:sz w:val="24"/>
                <w:szCs w:val="24"/>
              </w:rPr>
              <w:t>Protéine totale</w:t>
            </w:r>
          </w:p>
        </w:tc>
        <w:tc>
          <w:tcPr>
            <w:tcW w:w="1559" w:type="dxa"/>
            <w:hideMark/>
          </w:tcPr>
          <w:p w:rsidR="00C91FA9" w:rsidRDefault="00C91FA9" w:rsidP="00C91FA9">
            <w:pPr>
              <w:spacing w:line="360" w:lineRule="auto"/>
              <w:jc w:val="both"/>
              <w:cnfStyle w:val="000000100000"/>
              <w:rPr>
                <w:rFonts w:asciiTheme="majorBidi" w:hAnsiTheme="majorBidi" w:cstheme="majorBidi"/>
                <w:b/>
                <w:bCs/>
                <w:sz w:val="24"/>
                <w:szCs w:val="24"/>
              </w:rPr>
            </w:pPr>
          </w:p>
        </w:tc>
        <w:tc>
          <w:tcPr>
            <w:tcW w:w="1843" w:type="dxa"/>
            <w:hideMark/>
          </w:tcPr>
          <w:p w:rsidR="00C91FA9" w:rsidRDefault="00C91FA9" w:rsidP="00C91FA9">
            <w:pPr>
              <w:spacing w:line="360" w:lineRule="auto"/>
              <w:jc w:val="both"/>
              <w:cnfStyle w:val="000000100000"/>
              <w:rPr>
                <w:rFonts w:asciiTheme="majorBidi" w:hAnsiTheme="majorBidi" w:cstheme="majorBidi"/>
                <w:b/>
                <w:bCs/>
                <w:sz w:val="24"/>
                <w:szCs w:val="24"/>
              </w:rPr>
            </w:pPr>
          </w:p>
        </w:tc>
        <w:tc>
          <w:tcPr>
            <w:tcW w:w="1048" w:type="dxa"/>
            <w:hideMark/>
          </w:tcPr>
          <w:p w:rsidR="00C91FA9"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5,01</w:t>
            </w:r>
          </w:p>
        </w:tc>
        <w:tc>
          <w:tcPr>
            <w:tcW w:w="1134" w:type="dxa"/>
            <w:hideMark/>
          </w:tcPr>
          <w:p w:rsidR="00C91FA9"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0,000</w:t>
            </w:r>
          </w:p>
        </w:tc>
      </w:tr>
      <w:tr w:rsidR="00C91FA9" w:rsidTr="00C91FA9">
        <w:trPr>
          <w:cnfStyle w:val="000000010000"/>
          <w:trHeight w:val="397"/>
          <w:jc w:val="center"/>
        </w:trPr>
        <w:tc>
          <w:tcPr>
            <w:cnfStyle w:val="001000000000"/>
            <w:tcW w:w="3171" w:type="dxa"/>
            <w:hideMark/>
          </w:tcPr>
          <w:p w:rsidR="00C91FA9" w:rsidRDefault="00C91FA9" w:rsidP="00C91FA9">
            <w:pPr>
              <w:spacing w:line="360" w:lineRule="auto"/>
              <w:jc w:val="both"/>
              <w:rPr>
                <w:rFonts w:asciiTheme="majorBidi" w:hAnsiTheme="majorBidi"/>
                <w:sz w:val="24"/>
                <w:szCs w:val="24"/>
              </w:rPr>
            </w:pPr>
            <w:r>
              <w:rPr>
                <w:rFonts w:asciiTheme="majorBidi" w:hAnsiTheme="majorBidi"/>
                <w:sz w:val="24"/>
                <w:szCs w:val="24"/>
              </w:rPr>
              <w:t xml:space="preserve">Moyenne </w:t>
            </w:r>
          </w:p>
        </w:tc>
        <w:tc>
          <w:tcPr>
            <w:tcW w:w="1559" w:type="dxa"/>
            <w:hideMark/>
          </w:tcPr>
          <w:p w:rsidR="00C91FA9" w:rsidRDefault="00C91FA9" w:rsidP="00C91FA9">
            <w:pPr>
              <w:spacing w:line="360" w:lineRule="auto"/>
              <w:jc w:val="both"/>
              <w:cnfStyle w:val="000000010000"/>
              <w:rPr>
                <w:rFonts w:asciiTheme="majorBidi" w:hAnsiTheme="majorBidi" w:cstheme="majorBidi"/>
                <w:b/>
                <w:bCs/>
                <w:sz w:val="24"/>
                <w:szCs w:val="24"/>
              </w:rPr>
            </w:pPr>
            <w:r>
              <w:rPr>
                <w:rFonts w:asciiTheme="majorBidi" w:hAnsiTheme="majorBidi" w:cstheme="majorBidi"/>
                <w:b/>
                <w:bCs/>
                <w:sz w:val="24"/>
                <w:szCs w:val="24"/>
              </w:rPr>
              <w:t xml:space="preserve">    69,24</w:t>
            </w:r>
          </w:p>
        </w:tc>
        <w:tc>
          <w:tcPr>
            <w:tcW w:w="1843" w:type="dxa"/>
            <w:hideMark/>
          </w:tcPr>
          <w:p w:rsidR="00C91FA9" w:rsidRDefault="00C91FA9" w:rsidP="00C91FA9">
            <w:pPr>
              <w:spacing w:line="360" w:lineRule="auto"/>
              <w:jc w:val="both"/>
              <w:cnfStyle w:val="000000010000"/>
              <w:rPr>
                <w:rFonts w:asciiTheme="majorBidi" w:hAnsiTheme="majorBidi" w:cstheme="majorBidi"/>
                <w:b/>
                <w:bCs/>
                <w:sz w:val="24"/>
                <w:szCs w:val="24"/>
              </w:rPr>
            </w:pPr>
            <w:r>
              <w:rPr>
                <w:rFonts w:asciiTheme="majorBidi" w:hAnsiTheme="majorBidi" w:cstheme="majorBidi"/>
                <w:b/>
                <w:bCs/>
                <w:sz w:val="24"/>
                <w:szCs w:val="24"/>
              </w:rPr>
              <w:t xml:space="preserve">           73,88</w:t>
            </w:r>
          </w:p>
        </w:tc>
        <w:tc>
          <w:tcPr>
            <w:tcW w:w="1048" w:type="dxa"/>
          </w:tcPr>
          <w:p w:rsidR="00C91FA9" w:rsidRDefault="00C91FA9" w:rsidP="00C91FA9">
            <w:pPr>
              <w:spacing w:line="360" w:lineRule="auto"/>
              <w:jc w:val="both"/>
              <w:cnfStyle w:val="000000010000"/>
              <w:rPr>
                <w:rFonts w:asciiTheme="majorBidi" w:hAnsiTheme="majorBidi" w:cstheme="majorBidi"/>
                <w:b/>
                <w:bCs/>
                <w:sz w:val="24"/>
                <w:szCs w:val="24"/>
              </w:rPr>
            </w:pPr>
          </w:p>
        </w:tc>
        <w:tc>
          <w:tcPr>
            <w:tcW w:w="1134" w:type="dxa"/>
          </w:tcPr>
          <w:p w:rsidR="00C91FA9" w:rsidRDefault="00C91FA9" w:rsidP="00C91FA9">
            <w:pPr>
              <w:spacing w:line="360" w:lineRule="auto"/>
              <w:jc w:val="both"/>
              <w:cnfStyle w:val="000000010000"/>
              <w:rPr>
                <w:rFonts w:asciiTheme="majorBidi" w:hAnsiTheme="majorBidi" w:cstheme="majorBidi"/>
                <w:b/>
                <w:bCs/>
                <w:sz w:val="24"/>
                <w:szCs w:val="24"/>
              </w:rPr>
            </w:pPr>
          </w:p>
        </w:tc>
      </w:tr>
      <w:tr w:rsidR="00C91FA9" w:rsidTr="00C91FA9">
        <w:trPr>
          <w:cnfStyle w:val="000000100000"/>
          <w:trHeight w:val="464"/>
          <w:jc w:val="center"/>
        </w:trPr>
        <w:tc>
          <w:tcPr>
            <w:cnfStyle w:val="001000000000"/>
            <w:tcW w:w="3171" w:type="dxa"/>
            <w:hideMark/>
          </w:tcPr>
          <w:p w:rsidR="00C91FA9" w:rsidRDefault="00C91FA9" w:rsidP="00C91FA9">
            <w:pPr>
              <w:spacing w:line="360" w:lineRule="auto"/>
              <w:jc w:val="both"/>
              <w:rPr>
                <w:rFonts w:asciiTheme="majorBidi" w:hAnsiTheme="majorBidi"/>
                <w:sz w:val="24"/>
                <w:szCs w:val="24"/>
              </w:rPr>
            </w:pPr>
            <w:r>
              <w:rPr>
                <w:rFonts w:asciiTheme="majorBidi" w:hAnsiTheme="majorBidi"/>
                <w:sz w:val="24"/>
                <w:szCs w:val="24"/>
              </w:rPr>
              <w:t xml:space="preserve">Ecart-type </w:t>
            </w:r>
          </w:p>
        </w:tc>
        <w:tc>
          <w:tcPr>
            <w:tcW w:w="1559" w:type="dxa"/>
            <w:hideMark/>
          </w:tcPr>
          <w:p w:rsidR="00C91FA9" w:rsidRDefault="00C91FA9" w:rsidP="00C91FA9">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 xml:space="preserve">     6,23</w:t>
            </w:r>
          </w:p>
        </w:tc>
        <w:tc>
          <w:tcPr>
            <w:tcW w:w="1843" w:type="dxa"/>
            <w:hideMark/>
          </w:tcPr>
          <w:p w:rsidR="00C91FA9"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 xml:space="preserve">             6,87 </w:t>
            </w:r>
          </w:p>
        </w:tc>
        <w:tc>
          <w:tcPr>
            <w:tcW w:w="1048" w:type="dxa"/>
          </w:tcPr>
          <w:p w:rsidR="00C91FA9" w:rsidRDefault="00C91FA9" w:rsidP="00C91FA9">
            <w:pPr>
              <w:spacing w:line="360" w:lineRule="auto"/>
              <w:jc w:val="both"/>
              <w:cnfStyle w:val="000000100000"/>
              <w:rPr>
                <w:rFonts w:asciiTheme="majorBidi" w:hAnsiTheme="majorBidi" w:cstheme="majorBidi"/>
                <w:b/>
                <w:bCs/>
                <w:sz w:val="24"/>
                <w:szCs w:val="24"/>
              </w:rPr>
            </w:pPr>
          </w:p>
        </w:tc>
        <w:tc>
          <w:tcPr>
            <w:tcW w:w="1134" w:type="dxa"/>
          </w:tcPr>
          <w:p w:rsidR="00C91FA9" w:rsidRDefault="00C91FA9" w:rsidP="00C91FA9">
            <w:pPr>
              <w:spacing w:line="360" w:lineRule="auto"/>
              <w:jc w:val="both"/>
              <w:cnfStyle w:val="000000100000"/>
              <w:rPr>
                <w:rFonts w:asciiTheme="majorBidi" w:hAnsiTheme="majorBidi" w:cstheme="majorBidi"/>
                <w:b/>
                <w:bCs/>
                <w:sz w:val="24"/>
                <w:szCs w:val="24"/>
              </w:rPr>
            </w:pPr>
          </w:p>
        </w:tc>
      </w:tr>
    </w:tbl>
    <w:p w:rsidR="00C91FA9" w:rsidRDefault="00C91FA9" w:rsidP="00C91FA9">
      <w:pPr>
        <w:tabs>
          <w:tab w:val="left" w:pos="2054"/>
        </w:tabs>
        <w:spacing w:line="360" w:lineRule="auto"/>
        <w:jc w:val="both"/>
        <w:rPr>
          <w:rFonts w:asciiTheme="majorBidi" w:hAnsiTheme="majorBidi" w:cstheme="majorBidi"/>
          <w:b/>
          <w:bCs/>
          <w:color w:val="000000" w:themeColor="text1"/>
          <w:sz w:val="24"/>
          <w:szCs w:val="24"/>
          <w:shd w:val="clear" w:color="auto" w:fill="FFFFFF"/>
        </w:rPr>
      </w:pPr>
    </w:p>
    <w:p w:rsidR="00C91FA9" w:rsidRDefault="00C91FA9" w:rsidP="00C91FA9">
      <w:pPr>
        <w:spacing w:line="360" w:lineRule="auto"/>
        <w:rPr>
          <w:rFonts w:asciiTheme="majorBidi" w:hAnsiTheme="majorBidi" w:cstheme="majorBidi"/>
          <w:b/>
          <w:bCs/>
          <w:color w:val="000000" w:themeColor="text1"/>
          <w:sz w:val="24"/>
          <w:szCs w:val="24"/>
          <w:shd w:val="clear" w:color="auto" w:fill="FFFFFF"/>
        </w:rPr>
      </w:pPr>
    </w:p>
    <w:p w:rsidR="00C91FA9" w:rsidRDefault="00C91FA9" w:rsidP="00C91FA9">
      <w:pPr>
        <w:spacing w:line="360" w:lineRule="auto"/>
        <w:rPr>
          <w:rFonts w:asciiTheme="majorBidi" w:hAnsiTheme="majorBidi" w:cstheme="majorBidi"/>
          <w:b/>
          <w:bCs/>
          <w:color w:val="000000" w:themeColor="text1"/>
          <w:sz w:val="24"/>
          <w:szCs w:val="24"/>
          <w:shd w:val="clear" w:color="auto" w:fill="FFFFFF"/>
        </w:rPr>
      </w:pPr>
    </w:p>
    <w:p w:rsidR="00C91FA9" w:rsidRPr="00E54399" w:rsidRDefault="00C91FA9" w:rsidP="00E54399">
      <w:pPr>
        <w:pStyle w:val="Paragraphedeliste"/>
        <w:numPr>
          <w:ilvl w:val="1"/>
          <w:numId w:val="54"/>
        </w:numPr>
        <w:spacing w:line="360" w:lineRule="auto"/>
        <w:rPr>
          <w:rFonts w:asciiTheme="majorBidi" w:eastAsiaTheme="minorEastAsia" w:hAnsiTheme="majorBidi" w:cstheme="majorBidi"/>
          <w:b/>
          <w:bCs/>
          <w:color w:val="7030A0"/>
          <w:sz w:val="28"/>
          <w:szCs w:val="28"/>
          <w:lang w:eastAsia="fr-FR"/>
        </w:rPr>
      </w:pPr>
      <w:r w:rsidRPr="00E54399">
        <w:rPr>
          <w:rFonts w:asciiTheme="majorBidi" w:eastAsiaTheme="minorEastAsia" w:hAnsiTheme="majorBidi" w:cstheme="majorBidi"/>
          <w:b/>
          <w:bCs/>
          <w:color w:val="7030A0"/>
          <w:sz w:val="28"/>
          <w:szCs w:val="28"/>
          <w:lang w:eastAsia="fr-FR"/>
        </w:rPr>
        <w:lastRenderedPageBreak/>
        <w:t xml:space="preserve">Répartition des malades et des témoins en fonction des taux d’albumine  </w:t>
      </w:r>
    </w:p>
    <w:p w:rsidR="00C91FA9" w:rsidRPr="0056031B" w:rsidRDefault="00C91FA9" w:rsidP="00C91FA9">
      <w:pPr>
        <w:spacing w:line="360" w:lineRule="auto"/>
        <w:ind w:firstLine="708"/>
        <w:rPr>
          <w:rFonts w:asciiTheme="majorBidi" w:eastAsiaTheme="minorEastAsia" w:hAnsiTheme="majorBidi" w:cstheme="majorBidi"/>
          <w:b/>
          <w:bCs/>
          <w:color w:val="7030A0"/>
          <w:sz w:val="28"/>
          <w:szCs w:val="28"/>
          <w:lang w:eastAsia="fr-FR"/>
        </w:rPr>
      </w:pPr>
      <w:r w:rsidRPr="0056031B">
        <w:rPr>
          <w:rFonts w:asciiTheme="majorBidi" w:eastAsiaTheme="minorEastAsia" w:hAnsiTheme="majorBidi" w:cstheme="majorBidi"/>
          <w:sz w:val="24"/>
          <w:szCs w:val="24"/>
          <w:lang w:eastAsia="fr-FR"/>
        </w:rPr>
        <w:t>Pour le taux d’albumine la distribution des malades et des témoins est illustré dans le tableau suivant :</w:t>
      </w:r>
    </w:p>
    <w:p w:rsidR="00C91FA9" w:rsidRPr="0056031B" w:rsidRDefault="00C91FA9" w:rsidP="00C91FA9">
      <w:pPr>
        <w:spacing w:line="360" w:lineRule="auto"/>
        <w:jc w:val="center"/>
        <w:rPr>
          <w:rFonts w:asciiTheme="majorBidi" w:hAnsiTheme="majorBidi" w:cstheme="majorBidi"/>
          <w:sz w:val="24"/>
          <w:szCs w:val="24"/>
          <w:shd w:val="clear" w:color="auto" w:fill="FFFFFF"/>
        </w:rPr>
      </w:pPr>
      <w:r w:rsidRPr="0056031B">
        <w:rPr>
          <w:rFonts w:asciiTheme="majorBidi" w:eastAsiaTheme="minorEastAsia" w:hAnsiTheme="majorBidi" w:cstheme="majorBidi"/>
          <w:b/>
          <w:bCs/>
          <w:sz w:val="24"/>
          <w:szCs w:val="24"/>
          <w:lang w:eastAsia="fr-FR"/>
        </w:rPr>
        <w:t>Tableau III.</w:t>
      </w:r>
      <w:r>
        <w:rPr>
          <w:rFonts w:asciiTheme="majorBidi" w:eastAsiaTheme="minorEastAsia" w:hAnsiTheme="majorBidi" w:cstheme="majorBidi"/>
          <w:b/>
          <w:bCs/>
          <w:sz w:val="24"/>
          <w:szCs w:val="24"/>
          <w:lang w:eastAsia="fr-FR"/>
        </w:rPr>
        <w:t>8</w:t>
      </w:r>
      <w:r w:rsidRPr="0056031B">
        <w:rPr>
          <w:rFonts w:asciiTheme="majorBidi" w:eastAsiaTheme="minorEastAsia" w:hAnsiTheme="majorBidi" w:cstheme="majorBidi"/>
          <w:b/>
          <w:bCs/>
          <w:sz w:val="24"/>
          <w:szCs w:val="24"/>
          <w:lang w:eastAsia="fr-FR"/>
        </w:rPr>
        <w:t xml:space="preserve">. </w:t>
      </w:r>
      <w:r w:rsidRPr="0056031B">
        <w:rPr>
          <w:rFonts w:asciiTheme="majorBidi" w:hAnsiTheme="majorBidi" w:cstheme="majorBidi"/>
          <w:sz w:val="24"/>
          <w:szCs w:val="24"/>
          <w:shd w:val="clear" w:color="auto" w:fill="FFFFFF"/>
        </w:rPr>
        <w:t>Répartition des malades et des témoins en fonction d’albumine</w:t>
      </w:r>
    </w:p>
    <w:tbl>
      <w:tblPr>
        <w:tblStyle w:val="Grilleclaire-Accent4"/>
        <w:tblW w:w="8755" w:type="dxa"/>
        <w:jc w:val="center"/>
        <w:tblLook w:val="04A0"/>
      </w:tblPr>
      <w:tblGrid>
        <w:gridCol w:w="3171"/>
        <w:gridCol w:w="1559"/>
        <w:gridCol w:w="1843"/>
        <w:gridCol w:w="1048"/>
        <w:gridCol w:w="1134"/>
      </w:tblGrid>
      <w:tr w:rsidR="00C91FA9" w:rsidTr="00C91FA9">
        <w:trPr>
          <w:cnfStyle w:val="100000000000"/>
          <w:trHeight w:val="397"/>
          <w:jc w:val="center"/>
        </w:trPr>
        <w:tc>
          <w:tcPr>
            <w:cnfStyle w:val="001000000000"/>
            <w:tcW w:w="3171" w:type="dxa"/>
            <w:hideMark/>
          </w:tcPr>
          <w:p w:rsidR="00C91FA9" w:rsidRDefault="00C91FA9" w:rsidP="00C91FA9">
            <w:pPr>
              <w:spacing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Statut</w:t>
            </w:r>
          </w:p>
        </w:tc>
        <w:tc>
          <w:tcPr>
            <w:tcW w:w="1559" w:type="dxa"/>
            <w:hideMark/>
          </w:tcPr>
          <w:p w:rsidR="00C91FA9" w:rsidRDefault="00C91FA9" w:rsidP="00C91FA9">
            <w:pPr>
              <w:spacing w:line="360" w:lineRule="auto"/>
              <w:jc w:val="both"/>
              <w:cnfStyle w:val="100000000000"/>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Témoin %</w:t>
            </w:r>
          </w:p>
        </w:tc>
        <w:tc>
          <w:tcPr>
            <w:tcW w:w="1843" w:type="dxa"/>
            <w:hideMark/>
          </w:tcPr>
          <w:p w:rsidR="00C91FA9" w:rsidRDefault="00C91FA9" w:rsidP="00C91FA9">
            <w:pPr>
              <w:spacing w:line="360" w:lineRule="auto"/>
              <w:jc w:val="both"/>
              <w:cnfStyle w:val="100000000000"/>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Echantillon %</w:t>
            </w:r>
          </w:p>
        </w:tc>
        <w:tc>
          <w:tcPr>
            <w:tcW w:w="1048" w:type="dxa"/>
            <w:hideMark/>
          </w:tcPr>
          <w:p w:rsidR="00C91FA9" w:rsidRDefault="00C91FA9" w:rsidP="00C91FA9">
            <w:pPr>
              <w:spacing w:line="360" w:lineRule="auto"/>
              <w:jc w:val="both"/>
              <w:cnfStyle w:val="100000000000"/>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χ2</w:t>
            </w:r>
          </w:p>
        </w:tc>
        <w:tc>
          <w:tcPr>
            <w:tcW w:w="1134" w:type="dxa"/>
            <w:hideMark/>
          </w:tcPr>
          <w:p w:rsidR="00C91FA9" w:rsidRDefault="00C91FA9" w:rsidP="00C91FA9">
            <w:pPr>
              <w:spacing w:line="360" w:lineRule="auto"/>
              <w:jc w:val="both"/>
              <w:cnfStyle w:val="100000000000"/>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P</w:t>
            </w:r>
          </w:p>
        </w:tc>
      </w:tr>
      <w:tr w:rsidR="00C91FA9" w:rsidTr="00C91FA9">
        <w:trPr>
          <w:cnfStyle w:val="000000100000"/>
          <w:trHeight w:val="397"/>
          <w:jc w:val="center"/>
        </w:trPr>
        <w:tc>
          <w:tcPr>
            <w:cnfStyle w:val="001000000000"/>
            <w:tcW w:w="3171" w:type="dxa"/>
            <w:hideMark/>
          </w:tcPr>
          <w:p w:rsidR="00C91FA9" w:rsidRDefault="00C91FA9" w:rsidP="00C91FA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Albumine </w:t>
            </w:r>
          </w:p>
        </w:tc>
        <w:tc>
          <w:tcPr>
            <w:tcW w:w="1559" w:type="dxa"/>
            <w:hideMark/>
          </w:tcPr>
          <w:p w:rsidR="00C91FA9" w:rsidRDefault="00C91FA9" w:rsidP="00C91FA9">
            <w:pPr>
              <w:spacing w:line="360" w:lineRule="auto"/>
              <w:jc w:val="both"/>
              <w:cnfStyle w:val="000000100000"/>
              <w:rPr>
                <w:rFonts w:asciiTheme="majorBidi" w:hAnsiTheme="majorBidi" w:cstheme="majorBidi"/>
                <w:b/>
                <w:bCs/>
                <w:sz w:val="24"/>
                <w:szCs w:val="24"/>
              </w:rPr>
            </w:pPr>
          </w:p>
        </w:tc>
        <w:tc>
          <w:tcPr>
            <w:tcW w:w="1843" w:type="dxa"/>
            <w:hideMark/>
          </w:tcPr>
          <w:p w:rsidR="00C91FA9" w:rsidRDefault="00C91FA9" w:rsidP="00C91FA9">
            <w:pPr>
              <w:spacing w:line="360" w:lineRule="auto"/>
              <w:jc w:val="both"/>
              <w:cnfStyle w:val="000000100000"/>
              <w:rPr>
                <w:rFonts w:asciiTheme="majorBidi" w:hAnsiTheme="majorBidi" w:cstheme="majorBidi"/>
                <w:b/>
                <w:bCs/>
                <w:sz w:val="24"/>
                <w:szCs w:val="24"/>
              </w:rPr>
            </w:pPr>
          </w:p>
        </w:tc>
        <w:tc>
          <w:tcPr>
            <w:tcW w:w="1048" w:type="dxa"/>
            <w:hideMark/>
          </w:tcPr>
          <w:p w:rsidR="00C91FA9"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3,046</w:t>
            </w:r>
          </w:p>
        </w:tc>
        <w:tc>
          <w:tcPr>
            <w:tcW w:w="1134" w:type="dxa"/>
            <w:hideMark/>
          </w:tcPr>
          <w:p w:rsidR="00C91FA9"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0,081</w:t>
            </w:r>
          </w:p>
        </w:tc>
      </w:tr>
      <w:tr w:rsidR="00C91FA9" w:rsidTr="00C91FA9">
        <w:trPr>
          <w:cnfStyle w:val="000000010000"/>
          <w:trHeight w:val="397"/>
          <w:jc w:val="center"/>
        </w:trPr>
        <w:tc>
          <w:tcPr>
            <w:cnfStyle w:val="001000000000"/>
            <w:tcW w:w="3171" w:type="dxa"/>
            <w:hideMark/>
          </w:tcPr>
          <w:p w:rsidR="00C91FA9" w:rsidRDefault="00C91FA9" w:rsidP="00C91FA9">
            <w:pPr>
              <w:spacing w:line="360" w:lineRule="auto"/>
              <w:jc w:val="both"/>
              <w:rPr>
                <w:rFonts w:asciiTheme="majorBidi" w:hAnsiTheme="majorBidi" w:cstheme="majorBidi"/>
                <w:sz w:val="24"/>
                <w:szCs w:val="24"/>
              </w:rPr>
            </w:pPr>
            <w:r>
              <w:rPr>
                <w:rFonts w:asciiTheme="majorBidi" w:hAnsiTheme="majorBidi" w:cstheme="majorBidi"/>
                <w:sz w:val="24"/>
                <w:szCs w:val="24"/>
              </w:rPr>
              <w:t>Hyper albumine</w:t>
            </w:r>
          </w:p>
        </w:tc>
        <w:tc>
          <w:tcPr>
            <w:tcW w:w="1559" w:type="dxa"/>
            <w:hideMark/>
          </w:tcPr>
          <w:p w:rsidR="00C91FA9" w:rsidRDefault="00C91FA9" w:rsidP="00C91FA9">
            <w:pPr>
              <w:spacing w:line="360" w:lineRule="auto"/>
              <w:jc w:val="both"/>
              <w:cnfStyle w:val="000000010000"/>
              <w:rPr>
                <w:rFonts w:asciiTheme="majorBidi" w:hAnsiTheme="majorBidi" w:cstheme="majorBidi"/>
                <w:b/>
                <w:bCs/>
                <w:sz w:val="24"/>
                <w:szCs w:val="24"/>
              </w:rPr>
            </w:pPr>
            <w:r>
              <w:rPr>
                <w:rFonts w:asciiTheme="majorBidi" w:hAnsiTheme="majorBidi" w:cstheme="majorBidi"/>
                <w:b/>
                <w:bCs/>
                <w:sz w:val="24"/>
                <w:szCs w:val="24"/>
              </w:rPr>
              <w:t xml:space="preserve">      00</w:t>
            </w:r>
          </w:p>
        </w:tc>
        <w:tc>
          <w:tcPr>
            <w:tcW w:w="1843" w:type="dxa"/>
            <w:hideMark/>
          </w:tcPr>
          <w:p w:rsidR="00C91FA9" w:rsidRDefault="00C91FA9" w:rsidP="00C91FA9">
            <w:pPr>
              <w:spacing w:line="360" w:lineRule="auto"/>
              <w:jc w:val="both"/>
              <w:cnfStyle w:val="000000010000"/>
              <w:rPr>
                <w:rFonts w:asciiTheme="majorBidi" w:hAnsiTheme="majorBidi" w:cstheme="majorBidi"/>
                <w:b/>
                <w:bCs/>
                <w:sz w:val="24"/>
                <w:szCs w:val="24"/>
              </w:rPr>
            </w:pPr>
            <w:r>
              <w:rPr>
                <w:rFonts w:asciiTheme="majorBidi" w:hAnsiTheme="majorBidi" w:cstheme="majorBidi"/>
                <w:b/>
                <w:bCs/>
                <w:sz w:val="24"/>
                <w:szCs w:val="24"/>
              </w:rPr>
              <w:t xml:space="preserve">        03</w:t>
            </w:r>
          </w:p>
        </w:tc>
        <w:tc>
          <w:tcPr>
            <w:tcW w:w="1048" w:type="dxa"/>
          </w:tcPr>
          <w:p w:rsidR="00C91FA9" w:rsidRDefault="00C91FA9" w:rsidP="00C91FA9">
            <w:pPr>
              <w:spacing w:line="360" w:lineRule="auto"/>
              <w:jc w:val="both"/>
              <w:cnfStyle w:val="000000010000"/>
              <w:rPr>
                <w:rFonts w:asciiTheme="majorBidi" w:hAnsiTheme="majorBidi" w:cstheme="majorBidi"/>
                <w:b/>
                <w:bCs/>
                <w:sz w:val="24"/>
                <w:szCs w:val="24"/>
              </w:rPr>
            </w:pPr>
          </w:p>
        </w:tc>
        <w:tc>
          <w:tcPr>
            <w:tcW w:w="1134" w:type="dxa"/>
          </w:tcPr>
          <w:p w:rsidR="00C91FA9" w:rsidRDefault="00C91FA9" w:rsidP="00C91FA9">
            <w:pPr>
              <w:spacing w:line="360" w:lineRule="auto"/>
              <w:jc w:val="both"/>
              <w:cnfStyle w:val="000000010000"/>
              <w:rPr>
                <w:rFonts w:asciiTheme="majorBidi" w:hAnsiTheme="majorBidi" w:cstheme="majorBidi"/>
                <w:b/>
                <w:bCs/>
                <w:sz w:val="24"/>
                <w:szCs w:val="24"/>
              </w:rPr>
            </w:pPr>
          </w:p>
        </w:tc>
      </w:tr>
      <w:tr w:rsidR="00C91FA9" w:rsidTr="00C91FA9">
        <w:trPr>
          <w:cnfStyle w:val="000000100000"/>
          <w:trHeight w:val="464"/>
          <w:jc w:val="center"/>
        </w:trPr>
        <w:tc>
          <w:tcPr>
            <w:cnfStyle w:val="001000000000"/>
            <w:tcW w:w="3171" w:type="dxa"/>
            <w:hideMark/>
          </w:tcPr>
          <w:p w:rsidR="00C91FA9" w:rsidRDefault="00C91FA9" w:rsidP="00C91FA9">
            <w:pPr>
              <w:spacing w:line="360" w:lineRule="auto"/>
              <w:jc w:val="both"/>
              <w:rPr>
                <w:rFonts w:asciiTheme="majorBidi" w:hAnsiTheme="majorBidi" w:cstheme="majorBidi"/>
                <w:sz w:val="24"/>
                <w:szCs w:val="24"/>
              </w:rPr>
            </w:pPr>
            <w:r>
              <w:rPr>
                <w:rFonts w:asciiTheme="majorBidi" w:hAnsiTheme="majorBidi" w:cstheme="majorBidi"/>
                <w:sz w:val="24"/>
                <w:szCs w:val="24"/>
              </w:rPr>
              <w:t>Normal</w:t>
            </w:r>
          </w:p>
        </w:tc>
        <w:tc>
          <w:tcPr>
            <w:tcW w:w="1559" w:type="dxa"/>
            <w:hideMark/>
          </w:tcPr>
          <w:p w:rsidR="00C91FA9"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 xml:space="preserve">     100</w:t>
            </w:r>
          </w:p>
        </w:tc>
        <w:tc>
          <w:tcPr>
            <w:tcW w:w="1843" w:type="dxa"/>
            <w:hideMark/>
          </w:tcPr>
          <w:p w:rsidR="00C91FA9" w:rsidRDefault="00C91FA9" w:rsidP="00C91FA9">
            <w:pPr>
              <w:spacing w:line="360" w:lineRule="auto"/>
              <w:jc w:val="both"/>
              <w:cnfStyle w:val="000000100000"/>
              <w:rPr>
                <w:rFonts w:asciiTheme="majorBidi" w:hAnsiTheme="majorBidi" w:cstheme="majorBidi"/>
                <w:b/>
                <w:bCs/>
                <w:sz w:val="24"/>
                <w:szCs w:val="24"/>
              </w:rPr>
            </w:pPr>
            <w:r>
              <w:rPr>
                <w:rFonts w:asciiTheme="majorBidi" w:hAnsiTheme="majorBidi" w:cstheme="majorBidi"/>
                <w:b/>
                <w:bCs/>
                <w:sz w:val="24"/>
                <w:szCs w:val="24"/>
              </w:rPr>
              <w:t xml:space="preserve">        97</w:t>
            </w:r>
          </w:p>
        </w:tc>
        <w:tc>
          <w:tcPr>
            <w:tcW w:w="1048" w:type="dxa"/>
          </w:tcPr>
          <w:p w:rsidR="00C91FA9" w:rsidRDefault="00C91FA9" w:rsidP="00C91FA9">
            <w:pPr>
              <w:spacing w:line="360" w:lineRule="auto"/>
              <w:jc w:val="both"/>
              <w:cnfStyle w:val="000000100000"/>
              <w:rPr>
                <w:rFonts w:asciiTheme="majorBidi" w:hAnsiTheme="majorBidi" w:cstheme="majorBidi"/>
                <w:b/>
                <w:bCs/>
                <w:sz w:val="24"/>
                <w:szCs w:val="24"/>
              </w:rPr>
            </w:pPr>
          </w:p>
        </w:tc>
        <w:tc>
          <w:tcPr>
            <w:tcW w:w="1134" w:type="dxa"/>
          </w:tcPr>
          <w:p w:rsidR="00C91FA9" w:rsidRDefault="00C91FA9" w:rsidP="00C91FA9">
            <w:pPr>
              <w:spacing w:line="360" w:lineRule="auto"/>
              <w:jc w:val="both"/>
              <w:cnfStyle w:val="000000100000"/>
              <w:rPr>
                <w:rFonts w:asciiTheme="majorBidi" w:hAnsiTheme="majorBidi" w:cstheme="majorBidi"/>
                <w:b/>
                <w:bCs/>
                <w:sz w:val="24"/>
                <w:szCs w:val="24"/>
              </w:rPr>
            </w:pPr>
          </w:p>
        </w:tc>
      </w:tr>
    </w:tbl>
    <w:p w:rsidR="00C91FA9" w:rsidRDefault="00C91FA9" w:rsidP="00C91FA9">
      <w:pPr>
        <w:tabs>
          <w:tab w:val="left" w:pos="5793"/>
        </w:tabs>
        <w:spacing w:line="360" w:lineRule="auto"/>
        <w:jc w:val="both"/>
        <w:rPr>
          <w:rFonts w:asciiTheme="majorBidi" w:hAnsiTheme="majorBidi" w:cstheme="majorBidi"/>
          <w:color w:val="000000" w:themeColor="text1"/>
          <w:sz w:val="24"/>
          <w:szCs w:val="24"/>
          <w:shd w:val="clear" w:color="auto" w:fill="FFFFFF"/>
        </w:rPr>
      </w:pPr>
    </w:p>
    <w:p w:rsidR="00C91FA9" w:rsidRDefault="00E54399" w:rsidP="00C91FA9">
      <w:pPr>
        <w:tabs>
          <w:tab w:val="left" w:pos="5793"/>
        </w:tabs>
        <w:spacing w:line="36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               </w:t>
      </w:r>
      <w:r w:rsidR="00C91FA9" w:rsidRPr="007108CC">
        <w:rPr>
          <w:rFonts w:asciiTheme="majorBidi" w:hAnsiTheme="majorBidi" w:cstheme="majorBidi"/>
          <w:color w:val="000000" w:themeColor="text1"/>
          <w:sz w:val="24"/>
          <w:szCs w:val="24"/>
          <w:shd w:val="clear" w:color="auto" w:fill="FFFFFF"/>
        </w:rPr>
        <w:t xml:space="preserve">En ce qui concerne le taux d’albumine, </w:t>
      </w:r>
      <w:r w:rsidR="00C91FA9">
        <w:rPr>
          <w:rFonts w:asciiTheme="majorBidi" w:hAnsiTheme="majorBidi" w:cstheme="majorBidi"/>
          <w:color w:val="000000" w:themeColor="text1"/>
          <w:sz w:val="24"/>
          <w:szCs w:val="24"/>
          <w:shd w:val="clear" w:color="auto" w:fill="FFFFFF"/>
        </w:rPr>
        <w:t>(</w:t>
      </w:r>
      <w:r w:rsidR="00C91FA9" w:rsidRPr="007108CC">
        <w:rPr>
          <w:rFonts w:asciiTheme="majorBidi" w:hAnsiTheme="majorBidi" w:cstheme="majorBidi"/>
          <w:color w:val="000000" w:themeColor="text1"/>
          <w:sz w:val="24"/>
          <w:szCs w:val="24"/>
          <w:shd w:val="clear" w:color="auto" w:fill="FFFFFF"/>
        </w:rPr>
        <w:t>97%</w:t>
      </w:r>
      <w:r w:rsidR="00C91FA9">
        <w:rPr>
          <w:rFonts w:asciiTheme="majorBidi" w:hAnsiTheme="majorBidi" w:cstheme="majorBidi"/>
          <w:color w:val="000000" w:themeColor="text1"/>
          <w:sz w:val="24"/>
          <w:szCs w:val="24"/>
          <w:shd w:val="clear" w:color="auto" w:fill="FFFFFF"/>
        </w:rPr>
        <w:t>)</w:t>
      </w:r>
      <w:r w:rsidR="00C91FA9" w:rsidRPr="007108CC">
        <w:rPr>
          <w:rFonts w:asciiTheme="majorBidi" w:hAnsiTheme="majorBidi" w:cstheme="majorBidi"/>
          <w:color w:val="000000" w:themeColor="text1"/>
          <w:sz w:val="24"/>
          <w:szCs w:val="24"/>
          <w:shd w:val="clear" w:color="auto" w:fill="FFFFFF"/>
        </w:rPr>
        <w:t xml:space="preserve"> des malades atteints d’hépatite C ont un taux normal d’albumine. En outre la fréquence est </w:t>
      </w:r>
      <w:r w:rsidR="00C91FA9">
        <w:rPr>
          <w:rFonts w:asciiTheme="majorBidi" w:hAnsiTheme="majorBidi" w:cstheme="majorBidi"/>
          <w:color w:val="000000" w:themeColor="text1"/>
          <w:sz w:val="24"/>
          <w:szCs w:val="24"/>
          <w:shd w:val="clear" w:color="auto" w:fill="FFFFFF"/>
        </w:rPr>
        <w:t>(</w:t>
      </w:r>
      <w:r w:rsidR="00C91FA9" w:rsidRPr="007108CC">
        <w:rPr>
          <w:rFonts w:asciiTheme="majorBidi" w:hAnsiTheme="majorBidi" w:cstheme="majorBidi"/>
          <w:color w:val="000000" w:themeColor="text1"/>
          <w:sz w:val="24"/>
          <w:szCs w:val="24"/>
          <w:shd w:val="clear" w:color="auto" w:fill="FFFFFF"/>
        </w:rPr>
        <w:t>100%</w:t>
      </w:r>
      <w:r w:rsidR="00C91FA9">
        <w:rPr>
          <w:rFonts w:asciiTheme="majorBidi" w:hAnsiTheme="majorBidi" w:cstheme="majorBidi"/>
          <w:color w:val="000000" w:themeColor="text1"/>
          <w:sz w:val="24"/>
          <w:szCs w:val="24"/>
          <w:shd w:val="clear" w:color="auto" w:fill="FFFFFF"/>
        </w:rPr>
        <w:t>)</w:t>
      </w:r>
      <w:r w:rsidR="00C91FA9" w:rsidRPr="007108CC">
        <w:rPr>
          <w:rFonts w:asciiTheme="majorBidi" w:hAnsiTheme="majorBidi" w:cstheme="majorBidi"/>
          <w:color w:val="000000" w:themeColor="text1"/>
          <w:sz w:val="24"/>
          <w:szCs w:val="24"/>
          <w:shd w:val="clear" w:color="auto" w:fill="FFFFFF"/>
        </w:rPr>
        <w:t xml:space="preserve"> chez les témoins p=0.081 cette différence n’est pas significative.</w:t>
      </w:r>
    </w:p>
    <w:p w:rsidR="00C91FA9" w:rsidRPr="00E54399" w:rsidRDefault="00C91FA9" w:rsidP="00E54399">
      <w:pPr>
        <w:pStyle w:val="Paragraphedeliste"/>
        <w:numPr>
          <w:ilvl w:val="1"/>
          <w:numId w:val="54"/>
        </w:numPr>
        <w:tabs>
          <w:tab w:val="left" w:pos="5793"/>
        </w:tabs>
        <w:spacing w:line="360" w:lineRule="auto"/>
        <w:jc w:val="both"/>
        <w:rPr>
          <w:rFonts w:asciiTheme="majorBidi" w:hAnsiTheme="majorBidi" w:cstheme="majorBidi"/>
          <w:color w:val="000000" w:themeColor="text1"/>
          <w:sz w:val="24"/>
          <w:szCs w:val="24"/>
          <w:shd w:val="clear" w:color="auto" w:fill="FFFFFF"/>
        </w:rPr>
      </w:pPr>
      <w:r w:rsidRPr="00E54399">
        <w:rPr>
          <w:rFonts w:asciiTheme="majorBidi" w:eastAsiaTheme="minorEastAsia" w:hAnsiTheme="majorBidi" w:cstheme="majorBidi"/>
          <w:b/>
          <w:bCs/>
          <w:color w:val="7030A0"/>
          <w:sz w:val="28"/>
          <w:szCs w:val="28"/>
          <w:lang w:eastAsia="fr-FR"/>
        </w:rPr>
        <w:t>Répartition des malades en fonction des taux de cholestérol</w:t>
      </w:r>
    </w:p>
    <w:p w:rsidR="00C91FA9" w:rsidRPr="0056031B" w:rsidRDefault="00C91FA9" w:rsidP="00C91FA9">
      <w:pPr>
        <w:spacing w:line="360" w:lineRule="auto"/>
        <w:jc w:val="center"/>
        <w:rPr>
          <w:rFonts w:asciiTheme="majorBidi" w:eastAsiaTheme="minorEastAsia" w:hAnsiTheme="majorBidi" w:cstheme="majorBidi"/>
          <w:b/>
          <w:bCs/>
          <w:color w:val="244061" w:themeColor="accent1" w:themeShade="80"/>
          <w:sz w:val="28"/>
          <w:szCs w:val="28"/>
          <w:lang w:eastAsia="fr-FR"/>
        </w:rPr>
      </w:pPr>
      <w:r w:rsidRPr="0056031B">
        <w:rPr>
          <w:rFonts w:asciiTheme="majorBidi" w:eastAsiaTheme="minorEastAsia" w:hAnsiTheme="majorBidi" w:cstheme="majorBidi"/>
          <w:b/>
          <w:bCs/>
          <w:sz w:val="24"/>
          <w:szCs w:val="24"/>
          <w:lang w:eastAsia="fr-FR"/>
        </w:rPr>
        <w:t>Tableau III.</w:t>
      </w:r>
      <w:r>
        <w:rPr>
          <w:rFonts w:asciiTheme="majorBidi" w:eastAsiaTheme="minorEastAsia" w:hAnsiTheme="majorBidi" w:cstheme="majorBidi"/>
          <w:b/>
          <w:bCs/>
          <w:sz w:val="24"/>
          <w:szCs w:val="24"/>
          <w:lang w:eastAsia="fr-FR"/>
        </w:rPr>
        <w:t>9</w:t>
      </w:r>
      <w:r w:rsidRPr="0056031B">
        <w:rPr>
          <w:rFonts w:asciiTheme="majorBidi" w:eastAsiaTheme="minorEastAsia" w:hAnsiTheme="majorBidi" w:cstheme="majorBidi"/>
          <w:b/>
          <w:bCs/>
          <w:sz w:val="24"/>
          <w:szCs w:val="24"/>
          <w:lang w:eastAsia="fr-FR"/>
        </w:rPr>
        <w:t xml:space="preserve">. </w:t>
      </w:r>
      <w:r w:rsidRPr="0056031B">
        <w:rPr>
          <w:rFonts w:asciiTheme="majorBidi" w:hAnsiTheme="majorBidi" w:cstheme="majorBidi"/>
          <w:sz w:val="24"/>
          <w:szCs w:val="24"/>
          <w:shd w:val="clear" w:color="auto" w:fill="FFFFFF"/>
        </w:rPr>
        <w:t>Répartition des malades et des témoins en fonction des taux de cholestérol</w:t>
      </w:r>
    </w:p>
    <w:tbl>
      <w:tblPr>
        <w:tblStyle w:val="Grilleclaire-Accent4"/>
        <w:tblW w:w="0" w:type="auto"/>
        <w:jc w:val="center"/>
        <w:tblLayout w:type="fixed"/>
        <w:tblLook w:val="04A0"/>
      </w:tblPr>
      <w:tblGrid>
        <w:gridCol w:w="3510"/>
        <w:gridCol w:w="1701"/>
        <w:gridCol w:w="1843"/>
        <w:gridCol w:w="1134"/>
        <w:gridCol w:w="1306"/>
      </w:tblGrid>
      <w:tr w:rsidR="00C91FA9" w:rsidTr="00C91FA9">
        <w:trPr>
          <w:cnfStyle w:val="100000000000"/>
          <w:jc w:val="center"/>
        </w:trPr>
        <w:tc>
          <w:tcPr>
            <w:cnfStyle w:val="001000000000"/>
            <w:tcW w:w="3510" w:type="dxa"/>
          </w:tcPr>
          <w:p w:rsidR="00C91FA9" w:rsidRPr="005D2FE0" w:rsidRDefault="00C91FA9" w:rsidP="00C91FA9">
            <w:pPr>
              <w:spacing w:line="360" w:lineRule="auto"/>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 xml:space="preserve">Statut </w:t>
            </w:r>
          </w:p>
        </w:tc>
        <w:tc>
          <w:tcPr>
            <w:tcW w:w="1701" w:type="dxa"/>
          </w:tcPr>
          <w:p w:rsidR="00C91FA9" w:rsidRPr="005D2FE0" w:rsidRDefault="00C91FA9" w:rsidP="00C91FA9">
            <w:pPr>
              <w:spacing w:line="360" w:lineRule="auto"/>
              <w:cnfStyle w:val="100000000000"/>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Témoins %</w:t>
            </w:r>
          </w:p>
        </w:tc>
        <w:tc>
          <w:tcPr>
            <w:tcW w:w="1843" w:type="dxa"/>
          </w:tcPr>
          <w:p w:rsidR="00C91FA9" w:rsidRPr="005D2FE0" w:rsidRDefault="00C91FA9" w:rsidP="00C91FA9">
            <w:pPr>
              <w:spacing w:line="360" w:lineRule="auto"/>
              <w:cnfStyle w:val="100000000000"/>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Echantillon %</w:t>
            </w:r>
          </w:p>
        </w:tc>
        <w:tc>
          <w:tcPr>
            <w:tcW w:w="1134" w:type="dxa"/>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χ2</w:t>
            </w:r>
          </w:p>
        </w:tc>
        <w:tc>
          <w:tcPr>
            <w:tcW w:w="1306" w:type="dxa"/>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P</w:t>
            </w:r>
          </w:p>
        </w:tc>
      </w:tr>
      <w:tr w:rsidR="00C91FA9" w:rsidTr="00C91FA9">
        <w:trPr>
          <w:cnfStyle w:val="000000100000"/>
          <w:jc w:val="center"/>
        </w:trPr>
        <w:tc>
          <w:tcPr>
            <w:cnfStyle w:val="001000000000"/>
            <w:tcW w:w="3510" w:type="dxa"/>
          </w:tcPr>
          <w:p w:rsidR="00C91FA9" w:rsidRPr="005D2FE0" w:rsidRDefault="00C91FA9" w:rsidP="00C91FA9">
            <w:pPr>
              <w:spacing w:line="360" w:lineRule="auto"/>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cholestérol</w:t>
            </w:r>
          </w:p>
        </w:tc>
        <w:tc>
          <w:tcPr>
            <w:tcW w:w="1701" w:type="dxa"/>
          </w:tcPr>
          <w:p w:rsidR="00C91FA9" w:rsidRPr="00D11DF4" w:rsidRDefault="00C91FA9" w:rsidP="00C91FA9">
            <w:pPr>
              <w:spacing w:line="360" w:lineRule="auto"/>
              <w:cnfStyle w:val="000000100000"/>
              <w:rPr>
                <w:rFonts w:asciiTheme="majorBidi" w:eastAsiaTheme="minorEastAsia" w:hAnsiTheme="majorBidi" w:cstheme="majorBidi"/>
                <w:b/>
                <w:bCs/>
                <w:sz w:val="24"/>
                <w:szCs w:val="24"/>
                <w:lang w:eastAsia="fr-FR"/>
              </w:rPr>
            </w:pPr>
          </w:p>
        </w:tc>
        <w:tc>
          <w:tcPr>
            <w:tcW w:w="1843" w:type="dxa"/>
          </w:tcPr>
          <w:p w:rsidR="00C91FA9" w:rsidRPr="00D11DF4" w:rsidRDefault="00C91FA9" w:rsidP="00C91FA9">
            <w:pPr>
              <w:spacing w:line="360" w:lineRule="auto"/>
              <w:cnfStyle w:val="000000100000"/>
              <w:rPr>
                <w:rFonts w:asciiTheme="majorBidi" w:eastAsiaTheme="minorEastAsia" w:hAnsiTheme="majorBidi" w:cstheme="majorBidi"/>
                <w:b/>
                <w:bCs/>
                <w:sz w:val="24"/>
                <w:szCs w:val="24"/>
                <w:lang w:eastAsia="fr-FR"/>
              </w:rPr>
            </w:pPr>
          </w:p>
        </w:tc>
        <w:tc>
          <w:tcPr>
            <w:tcW w:w="1134" w:type="dxa"/>
          </w:tcPr>
          <w:p w:rsidR="00C91FA9" w:rsidRPr="00D11DF4" w:rsidRDefault="00C91FA9" w:rsidP="00C91FA9">
            <w:pPr>
              <w:spacing w:line="360" w:lineRule="auto"/>
              <w:cnfStyle w:val="000000100000"/>
              <w:rPr>
                <w:rFonts w:asciiTheme="majorBidi" w:eastAsiaTheme="minorEastAsia" w:hAnsiTheme="majorBidi" w:cstheme="majorBidi"/>
                <w:b/>
                <w:bCs/>
                <w:sz w:val="24"/>
                <w:szCs w:val="24"/>
                <w:lang w:eastAsia="fr-FR"/>
              </w:rPr>
            </w:pPr>
            <w:r w:rsidRPr="00D11DF4">
              <w:rPr>
                <w:rFonts w:asciiTheme="majorBidi" w:eastAsiaTheme="minorEastAsia" w:hAnsiTheme="majorBidi" w:cstheme="majorBidi"/>
                <w:b/>
                <w:bCs/>
                <w:sz w:val="24"/>
                <w:szCs w:val="24"/>
                <w:lang w:eastAsia="fr-FR"/>
              </w:rPr>
              <w:t>45,072</w:t>
            </w:r>
          </w:p>
        </w:tc>
        <w:tc>
          <w:tcPr>
            <w:tcW w:w="1306" w:type="dxa"/>
          </w:tcPr>
          <w:p w:rsidR="00C91FA9" w:rsidRPr="00D11DF4" w:rsidRDefault="00C91FA9" w:rsidP="00C91FA9">
            <w:pPr>
              <w:spacing w:line="360" w:lineRule="auto"/>
              <w:cnfStyle w:val="000000100000"/>
              <w:rPr>
                <w:rFonts w:asciiTheme="majorBidi" w:eastAsiaTheme="minorEastAsia" w:hAnsiTheme="majorBidi" w:cstheme="majorBidi"/>
                <w:b/>
                <w:bCs/>
                <w:sz w:val="24"/>
                <w:szCs w:val="24"/>
                <w:lang w:eastAsia="fr-FR"/>
              </w:rPr>
            </w:pPr>
            <w:r w:rsidRPr="00D11DF4">
              <w:rPr>
                <w:rFonts w:asciiTheme="majorBidi" w:eastAsiaTheme="minorEastAsia" w:hAnsiTheme="majorBidi" w:cstheme="majorBidi"/>
                <w:b/>
                <w:bCs/>
                <w:sz w:val="24"/>
                <w:szCs w:val="24"/>
                <w:lang w:eastAsia="fr-FR"/>
              </w:rPr>
              <w:t>0,000</w:t>
            </w:r>
          </w:p>
        </w:tc>
      </w:tr>
      <w:tr w:rsidR="00C91FA9" w:rsidTr="00C91FA9">
        <w:trPr>
          <w:cnfStyle w:val="000000010000"/>
          <w:jc w:val="center"/>
        </w:trPr>
        <w:tc>
          <w:tcPr>
            <w:cnfStyle w:val="001000000000"/>
            <w:tcW w:w="3510" w:type="dxa"/>
          </w:tcPr>
          <w:p w:rsidR="00C91FA9" w:rsidRPr="005D2FE0" w:rsidRDefault="00C91FA9" w:rsidP="00C91FA9">
            <w:pPr>
              <w:spacing w:line="360" w:lineRule="auto"/>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Hyper-cholestérol</w:t>
            </w:r>
          </w:p>
        </w:tc>
        <w:tc>
          <w:tcPr>
            <w:tcW w:w="1701" w:type="dxa"/>
          </w:tcPr>
          <w:p w:rsidR="00C91FA9" w:rsidRPr="00D11DF4" w:rsidRDefault="00C91FA9" w:rsidP="00C91FA9">
            <w:pPr>
              <w:spacing w:line="360" w:lineRule="auto"/>
              <w:cnfStyle w:val="000000010000"/>
              <w:rPr>
                <w:rFonts w:asciiTheme="majorBidi" w:eastAsiaTheme="minorEastAsia" w:hAnsiTheme="majorBidi" w:cstheme="majorBidi"/>
                <w:b/>
                <w:bCs/>
                <w:sz w:val="24"/>
                <w:szCs w:val="24"/>
                <w:lang w:eastAsia="fr-FR"/>
              </w:rPr>
            </w:pPr>
            <w:r w:rsidRPr="00D11DF4">
              <w:rPr>
                <w:rFonts w:asciiTheme="majorBidi" w:eastAsiaTheme="minorEastAsia" w:hAnsiTheme="majorBidi" w:cstheme="majorBidi"/>
                <w:b/>
                <w:bCs/>
                <w:sz w:val="24"/>
                <w:szCs w:val="24"/>
                <w:lang w:eastAsia="fr-FR"/>
              </w:rPr>
              <w:t>03</w:t>
            </w:r>
          </w:p>
        </w:tc>
        <w:tc>
          <w:tcPr>
            <w:tcW w:w="1843" w:type="dxa"/>
          </w:tcPr>
          <w:p w:rsidR="00C91FA9" w:rsidRPr="00D11DF4" w:rsidRDefault="00C91FA9" w:rsidP="00C91FA9">
            <w:pPr>
              <w:spacing w:line="360" w:lineRule="auto"/>
              <w:cnfStyle w:val="000000010000"/>
              <w:rPr>
                <w:rFonts w:asciiTheme="majorBidi" w:eastAsiaTheme="minorEastAsia" w:hAnsiTheme="majorBidi" w:cstheme="majorBidi"/>
                <w:b/>
                <w:bCs/>
                <w:sz w:val="24"/>
                <w:szCs w:val="24"/>
                <w:lang w:eastAsia="fr-FR"/>
              </w:rPr>
            </w:pPr>
            <w:r w:rsidRPr="00D11DF4">
              <w:rPr>
                <w:rFonts w:asciiTheme="majorBidi" w:eastAsiaTheme="minorEastAsia" w:hAnsiTheme="majorBidi" w:cstheme="majorBidi"/>
                <w:b/>
                <w:bCs/>
                <w:sz w:val="24"/>
                <w:szCs w:val="24"/>
                <w:lang w:eastAsia="fr-FR"/>
              </w:rPr>
              <w:t>02</w:t>
            </w:r>
          </w:p>
        </w:tc>
        <w:tc>
          <w:tcPr>
            <w:tcW w:w="1134" w:type="dxa"/>
          </w:tcPr>
          <w:p w:rsidR="00C91FA9" w:rsidRPr="00D11DF4" w:rsidRDefault="00C91FA9" w:rsidP="00C91FA9">
            <w:pPr>
              <w:spacing w:line="360" w:lineRule="auto"/>
              <w:cnfStyle w:val="000000010000"/>
              <w:rPr>
                <w:rFonts w:asciiTheme="majorBidi" w:eastAsiaTheme="minorEastAsia" w:hAnsiTheme="majorBidi" w:cstheme="majorBidi"/>
                <w:b/>
                <w:bCs/>
                <w:sz w:val="24"/>
                <w:szCs w:val="24"/>
                <w:lang w:eastAsia="fr-FR"/>
              </w:rPr>
            </w:pPr>
          </w:p>
        </w:tc>
        <w:tc>
          <w:tcPr>
            <w:tcW w:w="1306" w:type="dxa"/>
          </w:tcPr>
          <w:p w:rsidR="00C91FA9" w:rsidRDefault="00C91FA9" w:rsidP="00C91FA9">
            <w:pPr>
              <w:spacing w:line="360" w:lineRule="auto"/>
              <w:cnfStyle w:val="000000010000"/>
              <w:rPr>
                <w:rFonts w:asciiTheme="majorBidi" w:eastAsiaTheme="minorEastAsia" w:hAnsiTheme="majorBidi" w:cstheme="majorBidi"/>
                <w:b/>
                <w:bCs/>
                <w:color w:val="244061" w:themeColor="accent1" w:themeShade="80"/>
                <w:sz w:val="28"/>
                <w:szCs w:val="28"/>
                <w:lang w:eastAsia="fr-FR"/>
              </w:rPr>
            </w:pPr>
          </w:p>
        </w:tc>
      </w:tr>
      <w:tr w:rsidR="00C91FA9" w:rsidTr="00C91FA9">
        <w:trPr>
          <w:cnfStyle w:val="000000100000"/>
          <w:jc w:val="center"/>
        </w:trPr>
        <w:tc>
          <w:tcPr>
            <w:cnfStyle w:val="001000000000"/>
            <w:tcW w:w="3510" w:type="dxa"/>
          </w:tcPr>
          <w:p w:rsidR="00C91FA9" w:rsidRPr="005D2FE0" w:rsidRDefault="00C91FA9" w:rsidP="00C91FA9">
            <w:pPr>
              <w:spacing w:line="360" w:lineRule="auto"/>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Hypo-cholestérol</w:t>
            </w:r>
          </w:p>
        </w:tc>
        <w:tc>
          <w:tcPr>
            <w:tcW w:w="1701" w:type="dxa"/>
          </w:tcPr>
          <w:p w:rsidR="00C91FA9" w:rsidRPr="00D11DF4" w:rsidRDefault="00C91FA9" w:rsidP="00C91FA9">
            <w:pPr>
              <w:spacing w:line="360" w:lineRule="auto"/>
              <w:cnfStyle w:val="000000100000"/>
              <w:rPr>
                <w:rFonts w:asciiTheme="majorBidi" w:eastAsiaTheme="minorEastAsia" w:hAnsiTheme="majorBidi" w:cstheme="majorBidi"/>
                <w:b/>
                <w:bCs/>
                <w:sz w:val="24"/>
                <w:szCs w:val="24"/>
                <w:lang w:eastAsia="fr-FR"/>
              </w:rPr>
            </w:pPr>
            <w:r w:rsidRPr="00D11DF4">
              <w:rPr>
                <w:rFonts w:asciiTheme="majorBidi" w:eastAsiaTheme="minorEastAsia" w:hAnsiTheme="majorBidi" w:cstheme="majorBidi"/>
                <w:b/>
                <w:bCs/>
                <w:sz w:val="24"/>
                <w:szCs w:val="24"/>
                <w:lang w:eastAsia="fr-FR"/>
              </w:rPr>
              <w:t>02</w:t>
            </w:r>
          </w:p>
        </w:tc>
        <w:tc>
          <w:tcPr>
            <w:tcW w:w="1843" w:type="dxa"/>
          </w:tcPr>
          <w:p w:rsidR="00C91FA9" w:rsidRPr="00D11DF4" w:rsidRDefault="00C91FA9" w:rsidP="00C91FA9">
            <w:pPr>
              <w:spacing w:line="360" w:lineRule="auto"/>
              <w:cnfStyle w:val="000000100000"/>
              <w:rPr>
                <w:rFonts w:asciiTheme="majorBidi" w:eastAsiaTheme="minorEastAsia" w:hAnsiTheme="majorBidi" w:cstheme="majorBidi"/>
                <w:b/>
                <w:bCs/>
                <w:sz w:val="24"/>
                <w:szCs w:val="24"/>
                <w:lang w:eastAsia="fr-FR"/>
              </w:rPr>
            </w:pPr>
            <w:r w:rsidRPr="00D11DF4">
              <w:rPr>
                <w:rFonts w:asciiTheme="majorBidi" w:eastAsiaTheme="minorEastAsia" w:hAnsiTheme="majorBidi" w:cstheme="majorBidi"/>
                <w:b/>
                <w:bCs/>
                <w:sz w:val="24"/>
                <w:szCs w:val="24"/>
                <w:lang w:eastAsia="fr-FR"/>
              </w:rPr>
              <w:t>41</w:t>
            </w:r>
          </w:p>
        </w:tc>
        <w:tc>
          <w:tcPr>
            <w:tcW w:w="1134" w:type="dxa"/>
          </w:tcPr>
          <w:p w:rsidR="00C91FA9" w:rsidRPr="00D11DF4" w:rsidRDefault="00C91FA9" w:rsidP="00C91FA9">
            <w:pPr>
              <w:spacing w:line="360" w:lineRule="auto"/>
              <w:cnfStyle w:val="000000100000"/>
              <w:rPr>
                <w:rFonts w:asciiTheme="majorBidi" w:eastAsiaTheme="minorEastAsia" w:hAnsiTheme="majorBidi" w:cstheme="majorBidi"/>
                <w:b/>
                <w:bCs/>
                <w:sz w:val="24"/>
                <w:szCs w:val="24"/>
                <w:lang w:eastAsia="fr-FR"/>
              </w:rPr>
            </w:pPr>
          </w:p>
        </w:tc>
        <w:tc>
          <w:tcPr>
            <w:tcW w:w="1306" w:type="dxa"/>
          </w:tcPr>
          <w:p w:rsidR="00C91FA9" w:rsidRDefault="00C91FA9" w:rsidP="00C91FA9">
            <w:pPr>
              <w:spacing w:line="360" w:lineRule="auto"/>
              <w:cnfStyle w:val="000000100000"/>
              <w:rPr>
                <w:rFonts w:asciiTheme="majorBidi" w:eastAsiaTheme="minorEastAsia" w:hAnsiTheme="majorBidi" w:cstheme="majorBidi"/>
                <w:b/>
                <w:bCs/>
                <w:color w:val="244061" w:themeColor="accent1" w:themeShade="80"/>
                <w:sz w:val="28"/>
                <w:szCs w:val="28"/>
                <w:lang w:eastAsia="fr-FR"/>
              </w:rPr>
            </w:pPr>
          </w:p>
        </w:tc>
      </w:tr>
      <w:tr w:rsidR="00C91FA9" w:rsidTr="00C91FA9">
        <w:trPr>
          <w:cnfStyle w:val="000000010000"/>
          <w:jc w:val="center"/>
        </w:trPr>
        <w:tc>
          <w:tcPr>
            <w:cnfStyle w:val="001000000000"/>
            <w:tcW w:w="3510" w:type="dxa"/>
          </w:tcPr>
          <w:p w:rsidR="00C91FA9" w:rsidRPr="005D2FE0" w:rsidRDefault="00C91FA9" w:rsidP="00C91FA9">
            <w:pPr>
              <w:spacing w:line="360" w:lineRule="auto"/>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 xml:space="preserve">Normal </w:t>
            </w:r>
          </w:p>
        </w:tc>
        <w:tc>
          <w:tcPr>
            <w:tcW w:w="1701" w:type="dxa"/>
          </w:tcPr>
          <w:p w:rsidR="00C91FA9" w:rsidRPr="00D11DF4" w:rsidRDefault="00C91FA9" w:rsidP="00C91FA9">
            <w:pPr>
              <w:spacing w:line="360" w:lineRule="auto"/>
              <w:cnfStyle w:val="000000010000"/>
              <w:rPr>
                <w:rFonts w:asciiTheme="majorBidi" w:eastAsiaTheme="minorEastAsia" w:hAnsiTheme="majorBidi" w:cstheme="majorBidi"/>
                <w:b/>
                <w:bCs/>
                <w:sz w:val="24"/>
                <w:szCs w:val="24"/>
                <w:lang w:eastAsia="fr-FR"/>
              </w:rPr>
            </w:pPr>
            <w:r w:rsidRPr="00D11DF4">
              <w:rPr>
                <w:rFonts w:asciiTheme="majorBidi" w:eastAsiaTheme="minorEastAsia" w:hAnsiTheme="majorBidi" w:cstheme="majorBidi"/>
                <w:b/>
                <w:bCs/>
                <w:sz w:val="24"/>
                <w:szCs w:val="24"/>
                <w:lang w:eastAsia="fr-FR"/>
              </w:rPr>
              <w:t>95</w:t>
            </w:r>
          </w:p>
        </w:tc>
        <w:tc>
          <w:tcPr>
            <w:tcW w:w="1843" w:type="dxa"/>
          </w:tcPr>
          <w:p w:rsidR="00C91FA9" w:rsidRPr="00D11DF4" w:rsidRDefault="00C91FA9" w:rsidP="00C91FA9">
            <w:pPr>
              <w:spacing w:line="360" w:lineRule="auto"/>
              <w:cnfStyle w:val="000000010000"/>
              <w:rPr>
                <w:rFonts w:asciiTheme="majorBidi" w:eastAsiaTheme="minorEastAsia" w:hAnsiTheme="majorBidi" w:cstheme="majorBidi"/>
                <w:b/>
                <w:bCs/>
                <w:sz w:val="24"/>
                <w:szCs w:val="24"/>
                <w:lang w:eastAsia="fr-FR"/>
              </w:rPr>
            </w:pPr>
            <w:r w:rsidRPr="00D11DF4">
              <w:rPr>
                <w:rFonts w:asciiTheme="majorBidi" w:eastAsiaTheme="minorEastAsia" w:hAnsiTheme="majorBidi" w:cstheme="majorBidi"/>
                <w:b/>
                <w:bCs/>
                <w:sz w:val="24"/>
                <w:szCs w:val="24"/>
                <w:lang w:eastAsia="fr-FR"/>
              </w:rPr>
              <w:t>57</w:t>
            </w:r>
          </w:p>
        </w:tc>
        <w:tc>
          <w:tcPr>
            <w:tcW w:w="1134" w:type="dxa"/>
          </w:tcPr>
          <w:p w:rsidR="00C91FA9" w:rsidRPr="00D11DF4" w:rsidRDefault="00C91FA9" w:rsidP="00C91FA9">
            <w:pPr>
              <w:spacing w:line="360" w:lineRule="auto"/>
              <w:cnfStyle w:val="000000010000"/>
              <w:rPr>
                <w:rFonts w:asciiTheme="majorBidi" w:eastAsiaTheme="minorEastAsia" w:hAnsiTheme="majorBidi" w:cstheme="majorBidi"/>
                <w:b/>
                <w:bCs/>
                <w:sz w:val="24"/>
                <w:szCs w:val="24"/>
                <w:lang w:eastAsia="fr-FR"/>
              </w:rPr>
            </w:pPr>
          </w:p>
        </w:tc>
        <w:tc>
          <w:tcPr>
            <w:tcW w:w="1306" w:type="dxa"/>
          </w:tcPr>
          <w:p w:rsidR="00C91FA9" w:rsidRDefault="00C91FA9" w:rsidP="00C91FA9">
            <w:pPr>
              <w:spacing w:line="360" w:lineRule="auto"/>
              <w:cnfStyle w:val="000000010000"/>
              <w:rPr>
                <w:rFonts w:asciiTheme="majorBidi" w:eastAsiaTheme="minorEastAsia" w:hAnsiTheme="majorBidi" w:cstheme="majorBidi"/>
                <w:b/>
                <w:bCs/>
                <w:color w:val="244061" w:themeColor="accent1" w:themeShade="80"/>
                <w:sz w:val="28"/>
                <w:szCs w:val="28"/>
                <w:lang w:eastAsia="fr-FR"/>
              </w:rPr>
            </w:pPr>
          </w:p>
        </w:tc>
      </w:tr>
    </w:tbl>
    <w:p w:rsidR="00C91FA9" w:rsidRDefault="00C91FA9" w:rsidP="00C91FA9">
      <w:pPr>
        <w:spacing w:line="360" w:lineRule="auto"/>
        <w:ind w:left="284"/>
        <w:rPr>
          <w:rFonts w:asciiTheme="majorBidi" w:hAnsiTheme="majorBidi" w:cstheme="majorBidi"/>
          <w:color w:val="000000" w:themeColor="text1"/>
          <w:sz w:val="24"/>
          <w:szCs w:val="24"/>
          <w:shd w:val="clear" w:color="auto" w:fill="FFFFFF"/>
        </w:rPr>
      </w:pPr>
    </w:p>
    <w:p w:rsidR="00C91FA9" w:rsidRDefault="00C91FA9" w:rsidP="00C91FA9">
      <w:pPr>
        <w:spacing w:line="360" w:lineRule="auto"/>
        <w:ind w:firstLine="708"/>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Les résultats rapportés dans le </w:t>
      </w:r>
      <w:r w:rsidRPr="00235BB9">
        <w:rPr>
          <w:rFonts w:asciiTheme="majorBidi" w:hAnsiTheme="majorBidi" w:cstheme="majorBidi"/>
          <w:b/>
          <w:bCs/>
          <w:color w:val="000000" w:themeColor="text1"/>
          <w:sz w:val="24"/>
          <w:szCs w:val="24"/>
          <w:shd w:val="clear" w:color="auto" w:fill="FFFFFF"/>
        </w:rPr>
        <w:t>tableau III.</w:t>
      </w:r>
      <w:r>
        <w:rPr>
          <w:rFonts w:asciiTheme="majorBidi" w:hAnsiTheme="majorBidi" w:cstheme="majorBidi"/>
          <w:b/>
          <w:bCs/>
          <w:color w:val="000000" w:themeColor="text1"/>
          <w:sz w:val="24"/>
          <w:szCs w:val="24"/>
          <w:shd w:val="clear" w:color="auto" w:fill="FFFFFF"/>
        </w:rPr>
        <w:t>9</w:t>
      </w:r>
      <w:r w:rsidR="00E54399">
        <w:rPr>
          <w:rFonts w:asciiTheme="majorBidi" w:hAnsiTheme="majorBidi" w:cstheme="majorBidi"/>
          <w:b/>
          <w:bCs/>
          <w:color w:val="000000" w:themeColor="text1"/>
          <w:sz w:val="24"/>
          <w:szCs w:val="24"/>
          <w:shd w:val="clear" w:color="auto" w:fill="FFFFFF"/>
        </w:rPr>
        <w:t xml:space="preserve"> </w:t>
      </w:r>
      <w:r w:rsidRPr="00934F8A">
        <w:rPr>
          <w:rFonts w:asciiTheme="majorBidi" w:hAnsiTheme="majorBidi" w:cstheme="majorBidi"/>
          <w:color w:val="000000" w:themeColor="text1"/>
          <w:sz w:val="24"/>
          <w:szCs w:val="24"/>
          <w:shd w:val="clear" w:color="auto" w:fill="FFFFFF"/>
        </w:rPr>
        <w:t>objectivaient</w:t>
      </w:r>
      <w:r>
        <w:rPr>
          <w:rFonts w:asciiTheme="majorBidi" w:hAnsiTheme="majorBidi" w:cstheme="majorBidi"/>
          <w:color w:val="000000" w:themeColor="text1"/>
          <w:sz w:val="24"/>
          <w:szCs w:val="24"/>
          <w:shd w:val="clear" w:color="auto" w:fill="FFFFFF"/>
        </w:rPr>
        <w:t xml:space="preserve"> une baisse significative du taux du cholestérol (hypo-cholestérol) chez les sujets atteints de VHC (41%) par comparaison au groupe témoin (02%), p=0,000. Le  risque relatif RR est de 2.54, cela signifie que les malades VHC courent un risque 2.54 fois plus d’avoir un taux de cholestérol bas.</w:t>
      </w:r>
    </w:p>
    <w:p w:rsidR="00C91FA9" w:rsidRDefault="00C91FA9" w:rsidP="00C91FA9">
      <w:pPr>
        <w:spacing w:line="360" w:lineRule="auto"/>
        <w:jc w:val="both"/>
        <w:rPr>
          <w:rFonts w:asciiTheme="majorBidi" w:hAnsiTheme="majorBidi" w:cstheme="majorBidi"/>
          <w:b/>
          <w:bCs/>
          <w:color w:val="7030A0"/>
          <w:sz w:val="28"/>
          <w:szCs w:val="28"/>
          <w:shd w:val="clear" w:color="auto" w:fill="FFFFFF"/>
        </w:rPr>
      </w:pPr>
    </w:p>
    <w:p w:rsidR="00C91FA9" w:rsidRPr="0012185B" w:rsidRDefault="00C91FA9" w:rsidP="00A21FB0">
      <w:pPr>
        <w:pStyle w:val="Paragraphedeliste"/>
        <w:numPr>
          <w:ilvl w:val="1"/>
          <w:numId w:val="48"/>
        </w:numPr>
        <w:spacing w:after="160" w:line="360" w:lineRule="auto"/>
        <w:rPr>
          <w:rFonts w:asciiTheme="majorBidi" w:eastAsiaTheme="minorEastAsia" w:hAnsiTheme="majorBidi" w:cstheme="majorBidi"/>
          <w:b/>
          <w:bCs/>
          <w:color w:val="244061" w:themeColor="accent1" w:themeShade="80"/>
          <w:sz w:val="28"/>
          <w:szCs w:val="28"/>
          <w:lang w:eastAsia="fr-FR"/>
        </w:rPr>
      </w:pPr>
      <w:r w:rsidRPr="0012185B">
        <w:rPr>
          <w:rFonts w:asciiTheme="majorBidi" w:hAnsiTheme="majorBidi" w:cstheme="majorBidi"/>
          <w:b/>
          <w:bCs/>
          <w:color w:val="7030A0"/>
          <w:sz w:val="28"/>
          <w:szCs w:val="28"/>
          <w:shd w:val="clear" w:color="auto" w:fill="FFFFFF"/>
        </w:rPr>
        <w:lastRenderedPageBreak/>
        <w:t xml:space="preserve">Répartition des malades et des témoins en fonction des taux d’HDL </w:t>
      </w:r>
    </w:p>
    <w:p w:rsidR="00C91FA9" w:rsidRPr="0056031B" w:rsidRDefault="00C91FA9" w:rsidP="00C91FA9">
      <w:pPr>
        <w:spacing w:line="360" w:lineRule="auto"/>
        <w:jc w:val="center"/>
        <w:rPr>
          <w:rFonts w:asciiTheme="majorBidi" w:eastAsiaTheme="minorEastAsia" w:hAnsiTheme="majorBidi" w:cstheme="majorBidi"/>
          <w:color w:val="244061" w:themeColor="accent1" w:themeShade="80"/>
          <w:sz w:val="28"/>
          <w:szCs w:val="28"/>
          <w:lang w:eastAsia="fr-FR"/>
        </w:rPr>
      </w:pPr>
      <w:r w:rsidRPr="0056031B">
        <w:rPr>
          <w:rFonts w:asciiTheme="majorBidi" w:eastAsiaTheme="minorEastAsia" w:hAnsiTheme="majorBidi" w:cstheme="majorBidi"/>
          <w:b/>
          <w:bCs/>
          <w:sz w:val="24"/>
          <w:szCs w:val="24"/>
          <w:lang w:eastAsia="fr-FR"/>
        </w:rPr>
        <w:t>Tableau III .</w:t>
      </w:r>
      <w:r>
        <w:rPr>
          <w:rFonts w:asciiTheme="majorBidi" w:eastAsiaTheme="minorEastAsia" w:hAnsiTheme="majorBidi" w:cstheme="majorBidi"/>
          <w:b/>
          <w:bCs/>
          <w:sz w:val="24"/>
          <w:szCs w:val="24"/>
          <w:lang w:eastAsia="fr-FR"/>
        </w:rPr>
        <w:t>10</w:t>
      </w:r>
      <w:r w:rsidRPr="0056031B">
        <w:rPr>
          <w:rFonts w:asciiTheme="majorBidi" w:eastAsiaTheme="minorEastAsia" w:hAnsiTheme="majorBidi" w:cstheme="majorBidi"/>
          <w:b/>
          <w:bCs/>
          <w:sz w:val="24"/>
          <w:szCs w:val="24"/>
          <w:lang w:eastAsia="fr-FR"/>
        </w:rPr>
        <w:t>.</w:t>
      </w:r>
      <w:r w:rsidR="00E54399">
        <w:rPr>
          <w:rFonts w:asciiTheme="majorBidi" w:eastAsiaTheme="minorEastAsia" w:hAnsiTheme="majorBidi" w:cstheme="majorBidi"/>
          <w:b/>
          <w:bCs/>
          <w:sz w:val="24"/>
          <w:szCs w:val="24"/>
          <w:lang w:eastAsia="fr-FR"/>
        </w:rPr>
        <w:t xml:space="preserve"> </w:t>
      </w:r>
      <w:r w:rsidRPr="0056031B">
        <w:rPr>
          <w:rFonts w:asciiTheme="majorBidi" w:hAnsiTheme="majorBidi" w:cstheme="majorBidi"/>
          <w:sz w:val="24"/>
          <w:szCs w:val="24"/>
          <w:shd w:val="clear" w:color="auto" w:fill="FFFFFF"/>
        </w:rPr>
        <w:t>Répartition des malades et des témoins en fonction des taux d’HDL</w:t>
      </w:r>
    </w:p>
    <w:tbl>
      <w:tblPr>
        <w:tblStyle w:val="Grilleclaire-Accent4"/>
        <w:tblW w:w="0" w:type="auto"/>
        <w:jc w:val="center"/>
        <w:tblLook w:val="04A0"/>
      </w:tblPr>
      <w:tblGrid>
        <w:gridCol w:w="3085"/>
        <w:gridCol w:w="1418"/>
        <w:gridCol w:w="1842"/>
        <w:gridCol w:w="1560"/>
        <w:gridCol w:w="1589"/>
      </w:tblGrid>
      <w:tr w:rsidR="00C91FA9" w:rsidTr="00C91FA9">
        <w:trPr>
          <w:cnfStyle w:val="100000000000"/>
          <w:jc w:val="center"/>
        </w:trPr>
        <w:tc>
          <w:tcPr>
            <w:cnfStyle w:val="001000000000"/>
            <w:tcW w:w="3085" w:type="dxa"/>
          </w:tcPr>
          <w:p w:rsidR="00C91FA9" w:rsidRPr="005D2FE0" w:rsidRDefault="00C91FA9" w:rsidP="00C91FA9">
            <w:pPr>
              <w:spacing w:line="360" w:lineRule="auto"/>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 xml:space="preserve">Statut </w:t>
            </w:r>
          </w:p>
        </w:tc>
        <w:tc>
          <w:tcPr>
            <w:tcW w:w="1418" w:type="dxa"/>
          </w:tcPr>
          <w:p w:rsidR="00C91FA9" w:rsidRPr="005D2FE0" w:rsidRDefault="00C91FA9" w:rsidP="00C91FA9">
            <w:pPr>
              <w:spacing w:line="360" w:lineRule="auto"/>
              <w:cnfStyle w:val="100000000000"/>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Témoins %</w:t>
            </w:r>
          </w:p>
        </w:tc>
        <w:tc>
          <w:tcPr>
            <w:tcW w:w="1842" w:type="dxa"/>
          </w:tcPr>
          <w:p w:rsidR="00C91FA9" w:rsidRPr="005D2FE0" w:rsidRDefault="00C91FA9" w:rsidP="00C91FA9">
            <w:pPr>
              <w:spacing w:line="360" w:lineRule="auto"/>
              <w:cnfStyle w:val="100000000000"/>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Echantillon %</w:t>
            </w:r>
          </w:p>
        </w:tc>
        <w:tc>
          <w:tcPr>
            <w:tcW w:w="1560" w:type="dxa"/>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χ2</w:t>
            </w:r>
          </w:p>
        </w:tc>
        <w:tc>
          <w:tcPr>
            <w:tcW w:w="1589" w:type="dxa"/>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P</w:t>
            </w:r>
          </w:p>
        </w:tc>
      </w:tr>
      <w:tr w:rsidR="00C91FA9" w:rsidRPr="004859BE" w:rsidTr="00C91FA9">
        <w:trPr>
          <w:cnfStyle w:val="000000100000"/>
          <w:jc w:val="center"/>
        </w:trPr>
        <w:tc>
          <w:tcPr>
            <w:cnfStyle w:val="001000000000"/>
            <w:tcW w:w="3085" w:type="dxa"/>
          </w:tcPr>
          <w:p w:rsidR="00C91FA9" w:rsidRPr="004859BE" w:rsidRDefault="00C91FA9" w:rsidP="00C91FA9">
            <w:pPr>
              <w:tabs>
                <w:tab w:val="left" w:pos="5793"/>
              </w:tabs>
              <w:jc w:val="both"/>
              <w:rPr>
                <w:rFonts w:asciiTheme="majorBidi" w:hAnsiTheme="majorBidi" w:cstheme="majorBidi"/>
              </w:rPr>
            </w:pPr>
            <w:r w:rsidRPr="004859BE">
              <w:rPr>
                <w:rFonts w:asciiTheme="majorBidi" w:hAnsiTheme="majorBidi" w:cstheme="majorBidi"/>
              </w:rPr>
              <w:t>HDL</w:t>
            </w:r>
          </w:p>
        </w:tc>
        <w:tc>
          <w:tcPr>
            <w:tcW w:w="1418" w:type="dxa"/>
          </w:tcPr>
          <w:p w:rsidR="00C91FA9" w:rsidRPr="004859BE" w:rsidRDefault="00C91FA9" w:rsidP="00C91FA9">
            <w:pPr>
              <w:tabs>
                <w:tab w:val="left" w:pos="5793"/>
              </w:tabs>
              <w:jc w:val="both"/>
              <w:cnfStyle w:val="000000100000"/>
              <w:rPr>
                <w:rFonts w:asciiTheme="majorBidi" w:hAnsiTheme="majorBidi" w:cstheme="majorBidi"/>
              </w:rPr>
            </w:pPr>
          </w:p>
        </w:tc>
        <w:tc>
          <w:tcPr>
            <w:tcW w:w="1842" w:type="dxa"/>
          </w:tcPr>
          <w:p w:rsidR="00C91FA9" w:rsidRPr="004859BE" w:rsidRDefault="00C91FA9" w:rsidP="00C91FA9">
            <w:pPr>
              <w:tabs>
                <w:tab w:val="left" w:pos="5793"/>
              </w:tabs>
              <w:jc w:val="both"/>
              <w:cnfStyle w:val="000000100000"/>
              <w:rPr>
                <w:rFonts w:asciiTheme="majorBidi" w:hAnsiTheme="majorBidi" w:cstheme="majorBidi"/>
              </w:rPr>
            </w:pPr>
          </w:p>
        </w:tc>
        <w:tc>
          <w:tcPr>
            <w:tcW w:w="1560" w:type="dxa"/>
          </w:tcPr>
          <w:p w:rsidR="00C91FA9" w:rsidRPr="004859BE" w:rsidRDefault="00C91FA9" w:rsidP="00C91FA9">
            <w:pPr>
              <w:tabs>
                <w:tab w:val="left" w:pos="5793"/>
              </w:tabs>
              <w:jc w:val="both"/>
              <w:cnfStyle w:val="000000100000"/>
              <w:rPr>
                <w:rFonts w:asciiTheme="majorBidi" w:hAnsiTheme="majorBidi" w:cstheme="majorBidi"/>
                <w:b/>
                <w:bCs/>
                <w:sz w:val="24"/>
                <w:szCs w:val="24"/>
              </w:rPr>
            </w:pPr>
            <w:r w:rsidRPr="004859BE">
              <w:rPr>
                <w:rFonts w:asciiTheme="majorBidi" w:hAnsiTheme="majorBidi" w:cstheme="majorBidi"/>
                <w:b/>
                <w:bCs/>
                <w:sz w:val="24"/>
                <w:szCs w:val="24"/>
              </w:rPr>
              <w:t>0,791</w:t>
            </w:r>
          </w:p>
        </w:tc>
        <w:tc>
          <w:tcPr>
            <w:tcW w:w="1589" w:type="dxa"/>
          </w:tcPr>
          <w:p w:rsidR="00C91FA9" w:rsidRPr="004859BE" w:rsidRDefault="00C91FA9" w:rsidP="00C91FA9">
            <w:pPr>
              <w:tabs>
                <w:tab w:val="left" w:pos="5793"/>
              </w:tabs>
              <w:jc w:val="both"/>
              <w:cnfStyle w:val="000000100000"/>
              <w:rPr>
                <w:rFonts w:asciiTheme="majorBidi" w:hAnsiTheme="majorBidi" w:cstheme="majorBidi"/>
                <w:b/>
                <w:bCs/>
                <w:sz w:val="24"/>
                <w:szCs w:val="24"/>
              </w:rPr>
            </w:pPr>
            <w:r w:rsidRPr="004859BE">
              <w:rPr>
                <w:rFonts w:asciiTheme="majorBidi" w:hAnsiTheme="majorBidi" w:cstheme="majorBidi"/>
                <w:b/>
                <w:bCs/>
                <w:sz w:val="24"/>
                <w:szCs w:val="24"/>
              </w:rPr>
              <w:t>0,374</w:t>
            </w:r>
          </w:p>
        </w:tc>
      </w:tr>
      <w:tr w:rsidR="00C91FA9" w:rsidRPr="004859BE" w:rsidTr="00C91FA9">
        <w:trPr>
          <w:cnfStyle w:val="000000010000"/>
          <w:jc w:val="center"/>
        </w:trPr>
        <w:tc>
          <w:tcPr>
            <w:cnfStyle w:val="001000000000"/>
            <w:tcW w:w="3085" w:type="dxa"/>
          </w:tcPr>
          <w:p w:rsidR="00C91FA9" w:rsidRPr="004859BE" w:rsidRDefault="00C91FA9" w:rsidP="00C91FA9">
            <w:pPr>
              <w:tabs>
                <w:tab w:val="left" w:pos="5793"/>
              </w:tabs>
              <w:jc w:val="both"/>
              <w:rPr>
                <w:rFonts w:asciiTheme="majorBidi" w:hAnsiTheme="majorBidi" w:cstheme="majorBidi"/>
              </w:rPr>
            </w:pPr>
            <w:r w:rsidRPr="004859BE">
              <w:rPr>
                <w:rFonts w:asciiTheme="majorBidi" w:hAnsiTheme="majorBidi" w:cstheme="majorBidi"/>
              </w:rPr>
              <w:t>Hypo-HDL</w:t>
            </w:r>
          </w:p>
        </w:tc>
        <w:tc>
          <w:tcPr>
            <w:tcW w:w="1418" w:type="dxa"/>
          </w:tcPr>
          <w:p w:rsidR="00C91FA9" w:rsidRPr="004859BE" w:rsidRDefault="00C91FA9" w:rsidP="00C91FA9">
            <w:pPr>
              <w:tabs>
                <w:tab w:val="left" w:pos="5793"/>
              </w:tabs>
              <w:jc w:val="both"/>
              <w:cnfStyle w:val="000000010000"/>
              <w:rPr>
                <w:rFonts w:asciiTheme="majorBidi" w:hAnsiTheme="majorBidi" w:cstheme="majorBidi"/>
                <w:b/>
                <w:bCs/>
                <w:sz w:val="24"/>
                <w:szCs w:val="24"/>
              </w:rPr>
            </w:pPr>
            <w:r w:rsidRPr="004859BE">
              <w:rPr>
                <w:rFonts w:asciiTheme="majorBidi" w:hAnsiTheme="majorBidi" w:cstheme="majorBidi"/>
                <w:b/>
                <w:bCs/>
                <w:sz w:val="24"/>
                <w:szCs w:val="24"/>
              </w:rPr>
              <w:t>68</w:t>
            </w:r>
          </w:p>
        </w:tc>
        <w:tc>
          <w:tcPr>
            <w:tcW w:w="1842" w:type="dxa"/>
          </w:tcPr>
          <w:p w:rsidR="00C91FA9" w:rsidRPr="004859BE" w:rsidRDefault="00C91FA9" w:rsidP="00C91FA9">
            <w:pPr>
              <w:tabs>
                <w:tab w:val="left" w:pos="5793"/>
              </w:tabs>
              <w:jc w:val="both"/>
              <w:cnfStyle w:val="000000010000"/>
              <w:rPr>
                <w:rFonts w:asciiTheme="majorBidi" w:hAnsiTheme="majorBidi" w:cstheme="majorBidi"/>
                <w:b/>
                <w:bCs/>
                <w:sz w:val="24"/>
                <w:szCs w:val="24"/>
              </w:rPr>
            </w:pPr>
            <w:r w:rsidRPr="004859BE">
              <w:rPr>
                <w:rFonts w:asciiTheme="majorBidi" w:hAnsiTheme="majorBidi" w:cstheme="majorBidi"/>
                <w:b/>
                <w:bCs/>
                <w:sz w:val="24"/>
                <w:szCs w:val="24"/>
              </w:rPr>
              <w:t>62</w:t>
            </w:r>
          </w:p>
        </w:tc>
        <w:tc>
          <w:tcPr>
            <w:tcW w:w="1560" w:type="dxa"/>
          </w:tcPr>
          <w:p w:rsidR="00C91FA9" w:rsidRPr="004859BE" w:rsidRDefault="00C91FA9" w:rsidP="00C91FA9">
            <w:pPr>
              <w:tabs>
                <w:tab w:val="left" w:pos="5793"/>
              </w:tabs>
              <w:jc w:val="both"/>
              <w:cnfStyle w:val="000000010000"/>
              <w:rPr>
                <w:rFonts w:asciiTheme="majorBidi" w:hAnsiTheme="majorBidi" w:cstheme="majorBidi"/>
              </w:rPr>
            </w:pPr>
          </w:p>
        </w:tc>
        <w:tc>
          <w:tcPr>
            <w:tcW w:w="1589" w:type="dxa"/>
          </w:tcPr>
          <w:p w:rsidR="00C91FA9" w:rsidRPr="004859BE" w:rsidRDefault="00C91FA9" w:rsidP="00C91FA9">
            <w:pPr>
              <w:tabs>
                <w:tab w:val="left" w:pos="5793"/>
              </w:tabs>
              <w:jc w:val="both"/>
              <w:cnfStyle w:val="000000010000"/>
              <w:rPr>
                <w:rFonts w:asciiTheme="majorBidi" w:hAnsiTheme="majorBidi" w:cstheme="majorBidi"/>
              </w:rPr>
            </w:pPr>
          </w:p>
        </w:tc>
      </w:tr>
      <w:tr w:rsidR="00C91FA9" w:rsidRPr="004859BE" w:rsidTr="00C91FA9">
        <w:trPr>
          <w:cnfStyle w:val="000000100000"/>
          <w:jc w:val="center"/>
        </w:trPr>
        <w:tc>
          <w:tcPr>
            <w:cnfStyle w:val="001000000000"/>
            <w:tcW w:w="3085" w:type="dxa"/>
          </w:tcPr>
          <w:p w:rsidR="00C91FA9" w:rsidRPr="004859BE" w:rsidRDefault="00C91FA9" w:rsidP="00C91FA9">
            <w:pPr>
              <w:tabs>
                <w:tab w:val="left" w:pos="5793"/>
              </w:tabs>
              <w:jc w:val="both"/>
              <w:rPr>
                <w:rFonts w:asciiTheme="majorBidi" w:hAnsiTheme="majorBidi" w:cstheme="majorBidi"/>
              </w:rPr>
            </w:pPr>
            <w:r w:rsidRPr="004859BE">
              <w:rPr>
                <w:rFonts w:asciiTheme="majorBidi" w:hAnsiTheme="majorBidi" w:cstheme="majorBidi"/>
              </w:rPr>
              <w:t xml:space="preserve">Normal </w:t>
            </w:r>
          </w:p>
        </w:tc>
        <w:tc>
          <w:tcPr>
            <w:tcW w:w="1418" w:type="dxa"/>
          </w:tcPr>
          <w:p w:rsidR="00C91FA9" w:rsidRPr="004859BE" w:rsidRDefault="00C91FA9" w:rsidP="00C91FA9">
            <w:pPr>
              <w:tabs>
                <w:tab w:val="left" w:pos="5793"/>
              </w:tabs>
              <w:jc w:val="both"/>
              <w:cnfStyle w:val="000000100000"/>
              <w:rPr>
                <w:rFonts w:asciiTheme="majorBidi" w:hAnsiTheme="majorBidi" w:cstheme="majorBidi"/>
                <w:b/>
                <w:bCs/>
                <w:sz w:val="24"/>
                <w:szCs w:val="24"/>
              </w:rPr>
            </w:pPr>
            <w:r w:rsidRPr="004859BE">
              <w:rPr>
                <w:rFonts w:asciiTheme="majorBidi" w:hAnsiTheme="majorBidi" w:cstheme="majorBidi"/>
                <w:b/>
                <w:bCs/>
                <w:sz w:val="24"/>
                <w:szCs w:val="24"/>
              </w:rPr>
              <w:t>32</w:t>
            </w:r>
          </w:p>
        </w:tc>
        <w:tc>
          <w:tcPr>
            <w:tcW w:w="1842" w:type="dxa"/>
          </w:tcPr>
          <w:p w:rsidR="00C91FA9" w:rsidRPr="004859BE" w:rsidRDefault="00C91FA9" w:rsidP="00C91FA9">
            <w:pPr>
              <w:tabs>
                <w:tab w:val="left" w:pos="5793"/>
              </w:tabs>
              <w:jc w:val="both"/>
              <w:cnfStyle w:val="000000100000"/>
              <w:rPr>
                <w:rFonts w:asciiTheme="majorBidi" w:hAnsiTheme="majorBidi" w:cstheme="majorBidi"/>
                <w:b/>
                <w:bCs/>
                <w:sz w:val="24"/>
                <w:szCs w:val="24"/>
              </w:rPr>
            </w:pPr>
            <w:r w:rsidRPr="004859BE">
              <w:rPr>
                <w:rFonts w:asciiTheme="majorBidi" w:hAnsiTheme="majorBidi" w:cstheme="majorBidi"/>
                <w:b/>
                <w:bCs/>
                <w:sz w:val="24"/>
                <w:szCs w:val="24"/>
              </w:rPr>
              <w:t>38</w:t>
            </w:r>
          </w:p>
        </w:tc>
        <w:tc>
          <w:tcPr>
            <w:tcW w:w="1560" w:type="dxa"/>
          </w:tcPr>
          <w:p w:rsidR="00C91FA9" w:rsidRPr="004859BE" w:rsidRDefault="00C91FA9" w:rsidP="00C91FA9">
            <w:pPr>
              <w:tabs>
                <w:tab w:val="left" w:pos="5793"/>
              </w:tabs>
              <w:jc w:val="both"/>
              <w:cnfStyle w:val="000000100000"/>
              <w:rPr>
                <w:rFonts w:asciiTheme="majorBidi" w:hAnsiTheme="majorBidi" w:cstheme="majorBidi"/>
              </w:rPr>
            </w:pPr>
          </w:p>
        </w:tc>
        <w:tc>
          <w:tcPr>
            <w:tcW w:w="1589" w:type="dxa"/>
          </w:tcPr>
          <w:p w:rsidR="00C91FA9" w:rsidRPr="004859BE" w:rsidRDefault="00C91FA9" w:rsidP="00C91FA9">
            <w:pPr>
              <w:tabs>
                <w:tab w:val="left" w:pos="5793"/>
              </w:tabs>
              <w:jc w:val="both"/>
              <w:cnfStyle w:val="000000100000"/>
              <w:rPr>
                <w:rFonts w:asciiTheme="majorBidi" w:hAnsiTheme="majorBidi" w:cstheme="majorBidi"/>
              </w:rPr>
            </w:pPr>
          </w:p>
        </w:tc>
      </w:tr>
    </w:tbl>
    <w:p w:rsidR="00C91FA9" w:rsidRDefault="00C91FA9" w:rsidP="00C91FA9">
      <w:pPr>
        <w:spacing w:line="360" w:lineRule="auto"/>
        <w:rPr>
          <w:rFonts w:asciiTheme="majorBidi" w:eastAsiaTheme="minorEastAsia" w:hAnsiTheme="majorBidi" w:cstheme="majorBidi"/>
          <w:b/>
          <w:bCs/>
          <w:sz w:val="24"/>
          <w:szCs w:val="24"/>
          <w:lang w:eastAsia="fr-FR"/>
        </w:rPr>
      </w:pPr>
    </w:p>
    <w:p w:rsidR="00C91FA9" w:rsidRPr="007108CC" w:rsidRDefault="00C91FA9" w:rsidP="00C91FA9">
      <w:pPr>
        <w:spacing w:line="360" w:lineRule="auto"/>
        <w:ind w:firstLine="708"/>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En ce qui concerne le taux d’HDL, 38</w:t>
      </w:r>
      <w:r w:rsidRPr="00160086">
        <w:rPr>
          <w:rFonts w:asciiTheme="majorBidi" w:hAnsiTheme="majorBidi" w:cstheme="majorBidi"/>
          <w:color w:val="000000" w:themeColor="text1"/>
          <w:sz w:val="24"/>
          <w:szCs w:val="24"/>
          <w:shd w:val="clear" w:color="auto" w:fill="FFFFFF"/>
        </w:rPr>
        <w:t xml:space="preserve">% des malades atteints d’hépatite C </w:t>
      </w:r>
      <w:r>
        <w:rPr>
          <w:rFonts w:asciiTheme="majorBidi" w:hAnsiTheme="majorBidi" w:cstheme="majorBidi"/>
          <w:color w:val="000000" w:themeColor="text1"/>
          <w:sz w:val="24"/>
          <w:szCs w:val="24"/>
          <w:shd w:val="clear" w:color="auto" w:fill="FFFFFF"/>
        </w:rPr>
        <w:t>ont un taux normal</w:t>
      </w:r>
      <w:r w:rsidRPr="00160086">
        <w:rPr>
          <w:rFonts w:asciiTheme="majorBidi" w:hAnsiTheme="majorBidi" w:cstheme="majorBidi"/>
          <w:color w:val="000000" w:themeColor="text1"/>
          <w:sz w:val="24"/>
          <w:szCs w:val="24"/>
          <w:shd w:val="clear" w:color="auto" w:fill="FFFFFF"/>
        </w:rPr>
        <w:t>,</w:t>
      </w:r>
      <w:r>
        <w:rPr>
          <w:rFonts w:asciiTheme="majorBidi" w:hAnsiTheme="majorBidi" w:cstheme="majorBidi"/>
          <w:color w:val="000000" w:themeColor="text1"/>
          <w:sz w:val="24"/>
          <w:szCs w:val="24"/>
          <w:shd w:val="clear" w:color="auto" w:fill="FFFFFF"/>
        </w:rPr>
        <w:t xml:space="preserve"> en outre seulement (32 %) des témoins</w:t>
      </w:r>
      <w:r w:rsidRPr="001D03BA">
        <w:rPr>
          <w:rFonts w:asciiTheme="majorBidi" w:hAnsiTheme="majorBidi" w:cstheme="majorBidi"/>
          <w:color w:val="000000" w:themeColor="text1"/>
          <w:sz w:val="24"/>
          <w:szCs w:val="24"/>
          <w:shd w:val="clear" w:color="auto" w:fill="FFFFFF"/>
        </w:rPr>
        <w:t>. p=0.</w:t>
      </w:r>
      <w:r>
        <w:rPr>
          <w:rFonts w:asciiTheme="majorBidi" w:hAnsiTheme="majorBidi" w:cstheme="majorBidi"/>
          <w:color w:val="000000" w:themeColor="text1"/>
          <w:sz w:val="24"/>
          <w:szCs w:val="24"/>
          <w:shd w:val="clear" w:color="auto" w:fill="FFFFFF"/>
        </w:rPr>
        <w:t>374</w:t>
      </w:r>
      <w:r w:rsidRPr="001D03BA">
        <w:rPr>
          <w:rFonts w:asciiTheme="majorBidi" w:hAnsiTheme="majorBidi" w:cstheme="majorBidi"/>
          <w:color w:val="000000" w:themeColor="text1"/>
          <w:sz w:val="24"/>
          <w:szCs w:val="24"/>
          <w:shd w:val="clear" w:color="auto" w:fill="FFFFFF"/>
        </w:rPr>
        <w:t xml:space="preserve"> cette différence n’est pas </w:t>
      </w:r>
      <w:r w:rsidRPr="00392797">
        <w:rPr>
          <w:rFonts w:asciiTheme="majorBidi" w:hAnsiTheme="majorBidi" w:cstheme="majorBidi"/>
          <w:color w:val="000000" w:themeColor="text1"/>
          <w:sz w:val="24"/>
          <w:szCs w:val="24"/>
          <w:shd w:val="clear" w:color="auto" w:fill="FFFFFF"/>
        </w:rPr>
        <w:t>significative</w:t>
      </w:r>
    </w:p>
    <w:p w:rsidR="00C91FA9" w:rsidRPr="0056031B" w:rsidRDefault="00C91FA9" w:rsidP="00A21FB0">
      <w:pPr>
        <w:pStyle w:val="Paragraphedeliste"/>
        <w:numPr>
          <w:ilvl w:val="1"/>
          <w:numId w:val="48"/>
        </w:numPr>
        <w:spacing w:after="160" w:line="360" w:lineRule="auto"/>
        <w:rPr>
          <w:rFonts w:asciiTheme="majorBidi" w:eastAsiaTheme="minorEastAsia" w:hAnsiTheme="majorBidi" w:cstheme="majorBidi"/>
          <w:b/>
          <w:bCs/>
          <w:color w:val="244061" w:themeColor="accent1" w:themeShade="80"/>
          <w:sz w:val="28"/>
          <w:szCs w:val="28"/>
          <w:lang w:eastAsia="fr-FR"/>
        </w:rPr>
      </w:pPr>
      <w:r w:rsidRPr="00B572B8">
        <w:rPr>
          <w:rFonts w:asciiTheme="majorBidi" w:hAnsiTheme="majorBidi" w:cstheme="majorBidi"/>
          <w:b/>
          <w:bCs/>
          <w:color w:val="7030A0"/>
          <w:sz w:val="28"/>
          <w:szCs w:val="28"/>
          <w:shd w:val="clear" w:color="auto" w:fill="FFFFFF"/>
        </w:rPr>
        <w:t>Répartition des malades et des témoins en fonction des taux</w:t>
      </w:r>
      <w:r>
        <w:rPr>
          <w:rFonts w:asciiTheme="majorBidi" w:hAnsiTheme="majorBidi" w:cstheme="majorBidi"/>
          <w:b/>
          <w:bCs/>
          <w:color w:val="7030A0"/>
          <w:sz w:val="28"/>
          <w:szCs w:val="28"/>
          <w:shd w:val="clear" w:color="auto" w:fill="FFFFFF"/>
        </w:rPr>
        <w:t xml:space="preserve"> d’LDL</w:t>
      </w:r>
    </w:p>
    <w:p w:rsidR="00C91FA9" w:rsidRPr="0056031B" w:rsidRDefault="00C91FA9" w:rsidP="00C91FA9">
      <w:pPr>
        <w:spacing w:line="360" w:lineRule="auto"/>
        <w:ind w:left="142"/>
        <w:jc w:val="center"/>
        <w:rPr>
          <w:rFonts w:asciiTheme="majorBidi" w:eastAsiaTheme="minorEastAsia" w:hAnsiTheme="majorBidi" w:cstheme="majorBidi"/>
          <w:b/>
          <w:bCs/>
          <w:color w:val="244061" w:themeColor="accent1" w:themeShade="80"/>
          <w:sz w:val="28"/>
          <w:szCs w:val="28"/>
          <w:lang w:eastAsia="fr-FR"/>
        </w:rPr>
      </w:pPr>
      <w:r w:rsidRPr="0056031B">
        <w:rPr>
          <w:rFonts w:asciiTheme="majorBidi" w:eastAsiaTheme="minorEastAsia" w:hAnsiTheme="majorBidi" w:cstheme="majorBidi"/>
          <w:b/>
          <w:bCs/>
          <w:sz w:val="24"/>
          <w:szCs w:val="24"/>
          <w:lang w:eastAsia="fr-FR"/>
        </w:rPr>
        <w:t>Tableau III .</w:t>
      </w:r>
      <w:r>
        <w:rPr>
          <w:rFonts w:asciiTheme="majorBidi" w:eastAsiaTheme="minorEastAsia" w:hAnsiTheme="majorBidi" w:cstheme="majorBidi"/>
          <w:b/>
          <w:bCs/>
          <w:sz w:val="24"/>
          <w:szCs w:val="24"/>
          <w:lang w:eastAsia="fr-FR"/>
        </w:rPr>
        <w:t>11</w:t>
      </w:r>
      <w:r w:rsidRPr="0056031B">
        <w:rPr>
          <w:rFonts w:asciiTheme="majorBidi" w:eastAsiaTheme="minorEastAsia" w:hAnsiTheme="majorBidi" w:cstheme="majorBidi"/>
          <w:b/>
          <w:bCs/>
          <w:sz w:val="24"/>
          <w:szCs w:val="24"/>
          <w:lang w:eastAsia="fr-FR"/>
        </w:rPr>
        <w:t>.</w:t>
      </w:r>
      <w:r w:rsidRPr="0056031B">
        <w:rPr>
          <w:rFonts w:asciiTheme="majorBidi" w:hAnsiTheme="majorBidi" w:cstheme="majorBidi"/>
          <w:sz w:val="24"/>
          <w:szCs w:val="24"/>
          <w:shd w:val="clear" w:color="auto" w:fill="FFFFFF"/>
        </w:rPr>
        <w:t>Répartition des malades et des témoins en fonction des taux d</w:t>
      </w:r>
      <w:r>
        <w:rPr>
          <w:rFonts w:asciiTheme="majorBidi" w:hAnsiTheme="majorBidi" w:cstheme="majorBidi"/>
          <w:sz w:val="24"/>
          <w:szCs w:val="24"/>
          <w:shd w:val="clear" w:color="auto" w:fill="FFFFFF"/>
        </w:rPr>
        <w:t xml:space="preserve">es </w:t>
      </w:r>
      <w:r w:rsidRPr="0056031B">
        <w:rPr>
          <w:rFonts w:asciiTheme="majorBidi" w:hAnsiTheme="majorBidi" w:cstheme="majorBidi"/>
          <w:sz w:val="24"/>
          <w:szCs w:val="24"/>
          <w:shd w:val="clear" w:color="auto" w:fill="FFFFFF"/>
        </w:rPr>
        <w:t>LDL</w:t>
      </w:r>
    </w:p>
    <w:tbl>
      <w:tblPr>
        <w:tblStyle w:val="Grilleclaire-Accent4"/>
        <w:tblW w:w="0" w:type="auto"/>
        <w:jc w:val="center"/>
        <w:tblLook w:val="04A0"/>
      </w:tblPr>
      <w:tblGrid>
        <w:gridCol w:w="3085"/>
        <w:gridCol w:w="1418"/>
        <w:gridCol w:w="1842"/>
        <w:gridCol w:w="1560"/>
        <w:gridCol w:w="1589"/>
      </w:tblGrid>
      <w:tr w:rsidR="00C91FA9" w:rsidTr="00C91FA9">
        <w:trPr>
          <w:cnfStyle w:val="100000000000"/>
          <w:jc w:val="center"/>
        </w:trPr>
        <w:tc>
          <w:tcPr>
            <w:cnfStyle w:val="001000000000"/>
            <w:tcW w:w="3085" w:type="dxa"/>
          </w:tcPr>
          <w:p w:rsidR="00C91FA9" w:rsidRPr="005D2FE0" w:rsidRDefault="00C91FA9" w:rsidP="00C91FA9">
            <w:pPr>
              <w:spacing w:line="360" w:lineRule="auto"/>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 xml:space="preserve">Statut </w:t>
            </w:r>
          </w:p>
        </w:tc>
        <w:tc>
          <w:tcPr>
            <w:tcW w:w="1418" w:type="dxa"/>
          </w:tcPr>
          <w:p w:rsidR="00C91FA9" w:rsidRPr="005D2FE0" w:rsidRDefault="00C91FA9" w:rsidP="00C91FA9">
            <w:pPr>
              <w:spacing w:line="360" w:lineRule="auto"/>
              <w:cnfStyle w:val="100000000000"/>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Témoins %</w:t>
            </w:r>
          </w:p>
        </w:tc>
        <w:tc>
          <w:tcPr>
            <w:tcW w:w="1842" w:type="dxa"/>
          </w:tcPr>
          <w:p w:rsidR="00C91FA9" w:rsidRPr="005D2FE0" w:rsidRDefault="00C91FA9" w:rsidP="00C91FA9">
            <w:pPr>
              <w:spacing w:line="360" w:lineRule="auto"/>
              <w:cnfStyle w:val="100000000000"/>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Echantillon %</w:t>
            </w:r>
          </w:p>
        </w:tc>
        <w:tc>
          <w:tcPr>
            <w:tcW w:w="1560" w:type="dxa"/>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χ2</w:t>
            </w:r>
          </w:p>
        </w:tc>
        <w:tc>
          <w:tcPr>
            <w:tcW w:w="1589" w:type="dxa"/>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P</w:t>
            </w:r>
          </w:p>
        </w:tc>
      </w:tr>
      <w:tr w:rsidR="00C91FA9" w:rsidRPr="004859BE" w:rsidTr="00C91FA9">
        <w:trPr>
          <w:cnfStyle w:val="000000100000"/>
          <w:jc w:val="center"/>
        </w:trPr>
        <w:tc>
          <w:tcPr>
            <w:cnfStyle w:val="001000000000"/>
            <w:tcW w:w="3085" w:type="dxa"/>
          </w:tcPr>
          <w:p w:rsidR="00C91FA9" w:rsidRPr="004859BE" w:rsidRDefault="00C91FA9" w:rsidP="00C91FA9">
            <w:pPr>
              <w:tabs>
                <w:tab w:val="left" w:pos="5793"/>
              </w:tabs>
              <w:jc w:val="both"/>
              <w:rPr>
                <w:rFonts w:asciiTheme="majorBidi" w:hAnsiTheme="majorBidi" w:cstheme="majorBidi"/>
              </w:rPr>
            </w:pPr>
            <w:r>
              <w:rPr>
                <w:rFonts w:asciiTheme="majorBidi" w:hAnsiTheme="majorBidi" w:cstheme="majorBidi"/>
              </w:rPr>
              <w:t>L</w:t>
            </w:r>
            <w:r w:rsidRPr="004859BE">
              <w:rPr>
                <w:rFonts w:asciiTheme="majorBidi" w:hAnsiTheme="majorBidi" w:cstheme="majorBidi"/>
              </w:rPr>
              <w:t>DL</w:t>
            </w:r>
          </w:p>
        </w:tc>
        <w:tc>
          <w:tcPr>
            <w:tcW w:w="1418" w:type="dxa"/>
          </w:tcPr>
          <w:p w:rsidR="00C91FA9" w:rsidRPr="004859BE" w:rsidRDefault="00C91FA9" w:rsidP="00C91FA9">
            <w:pPr>
              <w:tabs>
                <w:tab w:val="left" w:pos="5793"/>
              </w:tabs>
              <w:jc w:val="both"/>
              <w:cnfStyle w:val="000000100000"/>
              <w:rPr>
                <w:rFonts w:asciiTheme="majorBidi" w:hAnsiTheme="majorBidi" w:cstheme="majorBidi"/>
              </w:rPr>
            </w:pPr>
          </w:p>
        </w:tc>
        <w:tc>
          <w:tcPr>
            <w:tcW w:w="1842" w:type="dxa"/>
          </w:tcPr>
          <w:p w:rsidR="00C91FA9" w:rsidRPr="004859BE" w:rsidRDefault="00C91FA9" w:rsidP="00C91FA9">
            <w:pPr>
              <w:tabs>
                <w:tab w:val="left" w:pos="5793"/>
              </w:tabs>
              <w:jc w:val="both"/>
              <w:cnfStyle w:val="000000100000"/>
              <w:rPr>
                <w:rFonts w:asciiTheme="majorBidi" w:hAnsiTheme="majorBidi" w:cstheme="majorBidi"/>
              </w:rPr>
            </w:pPr>
          </w:p>
        </w:tc>
        <w:tc>
          <w:tcPr>
            <w:tcW w:w="1560" w:type="dxa"/>
          </w:tcPr>
          <w:p w:rsidR="00C91FA9" w:rsidRPr="004859BE" w:rsidRDefault="00C91FA9" w:rsidP="00C91FA9">
            <w:pPr>
              <w:tabs>
                <w:tab w:val="left" w:pos="5793"/>
              </w:tabs>
              <w:jc w:val="both"/>
              <w:cnfStyle w:val="000000100000"/>
              <w:rPr>
                <w:rFonts w:asciiTheme="majorBidi" w:hAnsiTheme="majorBidi" w:cstheme="majorBidi"/>
                <w:b/>
                <w:bCs/>
                <w:sz w:val="24"/>
                <w:szCs w:val="24"/>
              </w:rPr>
            </w:pPr>
            <w:r>
              <w:rPr>
                <w:rFonts w:asciiTheme="majorBidi" w:hAnsiTheme="majorBidi" w:cstheme="majorBidi"/>
                <w:b/>
                <w:bCs/>
                <w:sz w:val="24"/>
                <w:szCs w:val="24"/>
              </w:rPr>
              <w:t>4,916</w:t>
            </w:r>
          </w:p>
        </w:tc>
        <w:tc>
          <w:tcPr>
            <w:tcW w:w="1589" w:type="dxa"/>
          </w:tcPr>
          <w:p w:rsidR="00C91FA9" w:rsidRPr="004859BE" w:rsidRDefault="00C91FA9" w:rsidP="00C91FA9">
            <w:pPr>
              <w:tabs>
                <w:tab w:val="left" w:pos="5793"/>
              </w:tabs>
              <w:jc w:val="both"/>
              <w:cnfStyle w:val="000000100000"/>
              <w:rPr>
                <w:rFonts w:asciiTheme="majorBidi" w:hAnsiTheme="majorBidi" w:cstheme="majorBidi"/>
                <w:b/>
                <w:bCs/>
                <w:sz w:val="24"/>
                <w:szCs w:val="24"/>
              </w:rPr>
            </w:pPr>
            <w:r>
              <w:rPr>
                <w:rFonts w:asciiTheme="majorBidi" w:hAnsiTheme="majorBidi" w:cstheme="majorBidi"/>
                <w:b/>
                <w:bCs/>
                <w:sz w:val="24"/>
                <w:szCs w:val="24"/>
              </w:rPr>
              <w:t>0,027</w:t>
            </w:r>
          </w:p>
        </w:tc>
      </w:tr>
      <w:tr w:rsidR="00C91FA9" w:rsidRPr="004859BE" w:rsidTr="00C91FA9">
        <w:trPr>
          <w:cnfStyle w:val="000000010000"/>
          <w:jc w:val="center"/>
        </w:trPr>
        <w:tc>
          <w:tcPr>
            <w:cnfStyle w:val="001000000000"/>
            <w:tcW w:w="3085" w:type="dxa"/>
          </w:tcPr>
          <w:p w:rsidR="00C91FA9" w:rsidRPr="004859BE" w:rsidRDefault="00C91FA9" w:rsidP="00C91FA9">
            <w:pPr>
              <w:tabs>
                <w:tab w:val="left" w:pos="5793"/>
              </w:tabs>
              <w:jc w:val="both"/>
              <w:rPr>
                <w:rFonts w:asciiTheme="majorBidi" w:hAnsiTheme="majorBidi" w:cstheme="majorBidi"/>
              </w:rPr>
            </w:pPr>
            <w:r>
              <w:rPr>
                <w:rFonts w:asciiTheme="majorBidi" w:hAnsiTheme="majorBidi" w:cstheme="majorBidi"/>
              </w:rPr>
              <w:t>Hyper</w:t>
            </w:r>
            <w:r w:rsidRPr="004859BE">
              <w:rPr>
                <w:rFonts w:asciiTheme="majorBidi" w:hAnsiTheme="majorBidi" w:cstheme="majorBidi"/>
              </w:rPr>
              <w:t>-</w:t>
            </w:r>
            <w:r>
              <w:rPr>
                <w:rFonts w:asciiTheme="majorBidi" w:hAnsiTheme="majorBidi" w:cstheme="majorBidi"/>
              </w:rPr>
              <w:t>L</w:t>
            </w:r>
            <w:r w:rsidRPr="004859BE">
              <w:rPr>
                <w:rFonts w:asciiTheme="majorBidi" w:hAnsiTheme="majorBidi" w:cstheme="majorBidi"/>
              </w:rPr>
              <w:t>DL</w:t>
            </w:r>
          </w:p>
        </w:tc>
        <w:tc>
          <w:tcPr>
            <w:tcW w:w="1418" w:type="dxa"/>
          </w:tcPr>
          <w:p w:rsidR="00C91FA9" w:rsidRPr="004859BE" w:rsidRDefault="00C91FA9" w:rsidP="00C91FA9">
            <w:pPr>
              <w:tabs>
                <w:tab w:val="left" w:pos="5793"/>
              </w:tabs>
              <w:jc w:val="both"/>
              <w:cnfStyle w:val="000000010000"/>
              <w:rPr>
                <w:rFonts w:asciiTheme="majorBidi" w:hAnsiTheme="majorBidi" w:cstheme="majorBidi"/>
                <w:b/>
                <w:bCs/>
                <w:sz w:val="24"/>
                <w:szCs w:val="24"/>
              </w:rPr>
            </w:pPr>
            <w:r>
              <w:rPr>
                <w:rFonts w:asciiTheme="majorBidi" w:hAnsiTheme="majorBidi" w:cstheme="majorBidi"/>
                <w:b/>
                <w:bCs/>
                <w:sz w:val="24"/>
                <w:szCs w:val="24"/>
              </w:rPr>
              <w:t xml:space="preserve">       11</w:t>
            </w:r>
          </w:p>
        </w:tc>
        <w:tc>
          <w:tcPr>
            <w:tcW w:w="1842" w:type="dxa"/>
          </w:tcPr>
          <w:p w:rsidR="00C91FA9" w:rsidRPr="004859BE" w:rsidRDefault="00C91FA9" w:rsidP="00C91FA9">
            <w:pPr>
              <w:tabs>
                <w:tab w:val="left" w:pos="5793"/>
              </w:tabs>
              <w:jc w:val="both"/>
              <w:cnfStyle w:val="000000010000"/>
              <w:rPr>
                <w:rFonts w:asciiTheme="majorBidi" w:hAnsiTheme="majorBidi" w:cstheme="majorBidi"/>
                <w:b/>
                <w:bCs/>
                <w:sz w:val="24"/>
                <w:szCs w:val="24"/>
              </w:rPr>
            </w:pPr>
            <w:r>
              <w:rPr>
                <w:rFonts w:asciiTheme="majorBidi" w:hAnsiTheme="majorBidi" w:cstheme="majorBidi"/>
                <w:b/>
                <w:bCs/>
                <w:sz w:val="24"/>
                <w:szCs w:val="24"/>
              </w:rPr>
              <w:t xml:space="preserve">          03</w:t>
            </w:r>
          </w:p>
        </w:tc>
        <w:tc>
          <w:tcPr>
            <w:tcW w:w="1560" w:type="dxa"/>
          </w:tcPr>
          <w:p w:rsidR="00C91FA9" w:rsidRPr="004859BE" w:rsidRDefault="00C91FA9" w:rsidP="00C91FA9">
            <w:pPr>
              <w:tabs>
                <w:tab w:val="left" w:pos="5793"/>
              </w:tabs>
              <w:jc w:val="both"/>
              <w:cnfStyle w:val="000000010000"/>
              <w:rPr>
                <w:rFonts w:asciiTheme="majorBidi" w:hAnsiTheme="majorBidi" w:cstheme="majorBidi"/>
              </w:rPr>
            </w:pPr>
          </w:p>
        </w:tc>
        <w:tc>
          <w:tcPr>
            <w:tcW w:w="1589" w:type="dxa"/>
          </w:tcPr>
          <w:p w:rsidR="00C91FA9" w:rsidRPr="004859BE" w:rsidRDefault="00C91FA9" w:rsidP="00C91FA9">
            <w:pPr>
              <w:tabs>
                <w:tab w:val="left" w:pos="5793"/>
              </w:tabs>
              <w:jc w:val="both"/>
              <w:cnfStyle w:val="000000010000"/>
              <w:rPr>
                <w:rFonts w:asciiTheme="majorBidi" w:hAnsiTheme="majorBidi" w:cstheme="majorBidi"/>
              </w:rPr>
            </w:pPr>
          </w:p>
        </w:tc>
      </w:tr>
      <w:tr w:rsidR="00C91FA9" w:rsidRPr="004859BE" w:rsidTr="00C91FA9">
        <w:trPr>
          <w:cnfStyle w:val="000000100000"/>
          <w:jc w:val="center"/>
        </w:trPr>
        <w:tc>
          <w:tcPr>
            <w:cnfStyle w:val="001000000000"/>
            <w:tcW w:w="3085" w:type="dxa"/>
          </w:tcPr>
          <w:p w:rsidR="00C91FA9" w:rsidRPr="004859BE" w:rsidRDefault="00C91FA9" w:rsidP="00C91FA9">
            <w:pPr>
              <w:tabs>
                <w:tab w:val="left" w:pos="5793"/>
              </w:tabs>
              <w:jc w:val="both"/>
              <w:rPr>
                <w:rFonts w:asciiTheme="majorBidi" w:hAnsiTheme="majorBidi" w:cstheme="majorBidi"/>
              </w:rPr>
            </w:pPr>
            <w:r w:rsidRPr="004859BE">
              <w:rPr>
                <w:rFonts w:asciiTheme="majorBidi" w:hAnsiTheme="majorBidi" w:cstheme="majorBidi"/>
              </w:rPr>
              <w:t xml:space="preserve">Normal </w:t>
            </w:r>
          </w:p>
        </w:tc>
        <w:tc>
          <w:tcPr>
            <w:tcW w:w="1418" w:type="dxa"/>
          </w:tcPr>
          <w:p w:rsidR="00C91FA9" w:rsidRPr="004859BE" w:rsidRDefault="00C91FA9" w:rsidP="00C91FA9">
            <w:pPr>
              <w:tabs>
                <w:tab w:val="left" w:pos="5793"/>
              </w:tabs>
              <w:jc w:val="both"/>
              <w:cnfStyle w:val="000000100000"/>
              <w:rPr>
                <w:rFonts w:asciiTheme="majorBidi" w:hAnsiTheme="majorBidi" w:cstheme="majorBidi"/>
                <w:b/>
                <w:bCs/>
                <w:sz w:val="24"/>
                <w:szCs w:val="24"/>
              </w:rPr>
            </w:pPr>
            <w:r>
              <w:rPr>
                <w:rFonts w:asciiTheme="majorBidi" w:hAnsiTheme="majorBidi" w:cstheme="majorBidi"/>
                <w:b/>
                <w:bCs/>
                <w:sz w:val="24"/>
                <w:szCs w:val="24"/>
              </w:rPr>
              <w:t xml:space="preserve">       89</w:t>
            </w:r>
          </w:p>
        </w:tc>
        <w:tc>
          <w:tcPr>
            <w:tcW w:w="1842" w:type="dxa"/>
          </w:tcPr>
          <w:p w:rsidR="00C91FA9" w:rsidRPr="004859BE" w:rsidRDefault="00C91FA9" w:rsidP="00C91FA9">
            <w:pPr>
              <w:tabs>
                <w:tab w:val="left" w:pos="5793"/>
              </w:tabs>
              <w:jc w:val="both"/>
              <w:cnfStyle w:val="000000100000"/>
              <w:rPr>
                <w:rFonts w:asciiTheme="majorBidi" w:hAnsiTheme="majorBidi" w:cstheme="majorBidi"/>
                <w:b/>
                <w:bCs/>
                <w:sz w:val="24"/>
                <w:szCs w:val="24"/>
              </w:rPr>
            </w:pPr>
            <w:r>
              <w:rPr>
                <w:rFonts w:asciiTheme="majorBidi" w:hAnsiTheme="majorBidi" w:cstheme="majorBidi"/>
                <w:b/>
                <w:bCs/>
                <w:sz w:val="24"/>
                <w:szCs w:val="24"/>
              </w:rPr>
              <w:t xml:space="preserve">          97</w:t>
            </w:r>
          </w:p>
        </w:tc>
        <w:tc>
          <w:tcPr>
            <w:tcW w:w="1560" w:type="dxa"/>
          </w:tcPr>
          <w:p w:rsidR="00C91FA9" w:rsidRPr="004859BE" w:rsidRDefault="00C91FA9" w:rsidP="00C91FA9">
            <w:pPr>
              <w:tabs>
                <w:tab w:val="left" w:pos="5793"/>
              </w:tabs>
              <w:jc w:val="both"/>
              <w:cnfStyle w:val="000000100000"/>
              <w:rPr>
                <w:rFonts w:asciiTheme="majorBidi" w:hAnsiTheme="majorBidi" w:cstheme="majorBidi"/>
              </w:rPr>
            </w:pPr>
          </w:p>
        </w:tc>
        <w:tc>
          <w:tcPr>
            <w:tcW w:w="1589" w:type="dxa"/>
          </w:tcPr>
          <w:p w:rsidR="00C91FA9" w:rsidRPr="004859BE" w:rsidRDefault="00C91FA9" w:rsidP="00C91FA9">
            <w:pPr>
              <w:tabs>
                <w:tab w:val="left" w:pos="5793"/>
              </w:tabs>
              <w:jc w:val="both"/>
              <w:cnfStyle w:val="000000100000"/>
              <w:rPr>
                <w:rFonts w:asciiTheme="majorBidi" w:hAnsiTheme="majorBidi" w:cstheme="majorBidi"/>
              </w:rPr>
            </w:pPr>
          </w:p>
        </w:tc>
      </w:tr>
    </w:tbl>
    <w:p w:rsidR="00C91FA9" w:rsidRDefault="00C91FA9" w:rsidP="00C91FA9">
      <w:pPr>
        <w:spacing w:line="360" w:lineRule="auto"/>
        <w:jc w:val="both"/>
        <w:rPr>
          <w:rFonts w:asciiTheme="majorBidi" w:eastAsiaTheme="minorEastAsia" w:hAnsiTheme="majorBidi" w:cstheme="majorBidi"/>
          <w:b/>
          <w:bCs/>
          <w:sz w:val="24"/>
          <w:szCs w:val="24"/>
          <w:lang w:eastAsia="fr-FR"/>
        </w:rPr>
      </w:pPr>
    </w:p>
    <w:p w:rsidR="00C91FA9" w:rsidRDefault="00C91FA9" w:rsidP="00C91FA9">
      <w:pPr>
        <w:spacing w:line="360" w:lineRule="auto"/>
        <w:ind w:firstLine="708"/>
        <w:jc w:val="both"/>
        <w:rPr>
          <w:rFonts w:asciiTheme="majorBidi" w:hAnsiTheme="majorBidi" w:cstheme="majorBidi"/>
          <w:color w:val="000000" w:themeColor="text1"/>
          <w:sz w:val="24"/>
          <w:szCs w:val="24"/>
          <w:shd w:val="clear" w:color="auto" w:fill="FFFFFF"/>
        </w:rPr>
      </w:pPr>
      <w:r w:rsidRPr="0054378C">
        <w:rPr>
          <w:rFonts w:asciiTheme="majorBidi" w:hAnsiTheme="majorBidi" w:cstheme="majorBidi"/>
          <w:sz w:val="24"/>
          <w:szCs w:val="24"/>
        </w:rPr>
        <w:t xml:space="preserve">Cette répartition montre </w:t>
      </w:r>
      <w:r w:rsidRPr="0054378C">
        <w:rPr>
          <w:rFonts w:asciiTheme="majorBidi" w:hAnsiTheme="majorBidi" w:cstheme="majorBidi"/>
          <w:color w:val="000000" w:themeColor="text1"/>
          <w:sz w:val="24"/>
          <w:szCs w:val="24"/>
          <w:shd w:val="clear" w:color="auto" w:fill="FFFFFF"/>
        </w:rPr>
        <w:t xml:space="preserve">une augmentation significative du taux d’LDL (hyper-LDL) chez le groupe témoin (11%) </w:t>
      </w:r>
      <w:r>
        <w:rPr>
          <w:rFonts w:asciiTheme="majorBidi" w:hAnsiTheme="majorBidi" w:cstheme="majorBidi"/>
          <w:color w:val="000000" w:themeColor="text1"/>
          <w:sz w:val="24"/>
          <w:szCs w:val="24"/>
          <w:shd w:val="clear" w:color="auto" w:fill="FFFFFF"/>
        </w:rPr>
        <w:t xml:space="preserve">en </w:t>
      </w:r>
      <w:r w:rsidRPr="0054378C">
        <w:rPr>
          <w:rFonts w:asciiTheme="majorBidi" w:hAnsiTheme="majorBidi" w:cstheme="majorBidi"/>
          <w:color w:val="000000" w:themeColor="text1"/>
          <w:sz w:val="24"/>
          <w:szCs w:val="24"/>
          <w:shd w:val="clear" w:color="auto" w:fill="FFFFFF"/>
        </w:rPr>
        <w:t>comparaison au groupe atteints de VHC (03%)</w:t>
      </w:r>
      <w:r>
        <w:rPr>
          <w:rFonts w:asciiTheme="majorBidi" w:hAnsiTheme="majorBidi" w:cstheme="majorBidi"/>
          <w:color w:val="000000" w:themeColor="text1"/>
          <w:sz w:val="24"/>
          <w:szCs w:val="24"/>
          <w:shd w:val="clear" w:color="auto" w:fill="FFFFFF"/>
        </w:rPr>
        <w:t xml:space="preserve">. Cette différence est significative avec un </w:t>
      </w:r>
      <w:r w:rsidRPr="0054378C">
        <w:rPr>
          <w:rFonts w:asciiTheme="majorBidi" w:hAnsiTheme="majorBidi" w:cstheme="majorBidi"/>
          <w:color w:val="000000" w:themeColor="text1"/>
          <w:sz w:val="24"/>
          <w:szCs w:val="24"/>
          <w:shd w:val="clear" w:color="auto" w:fill="FFFFFF"/>
        </w:rPr>
        <w:t>p=0,</w:t>
      </w:r>
      <w:r>
        <w:rPr>
          <w:rFonts w:asciiTheme="majorBidi" w:hAnsiTheme="majorBidi" w:cstheme="majorBidi"/>
          <w:color w:val="000000" w:themeColor="text1"/>
          <w:sz w:val="24"/>
          <w:szCs w:val="24"/>
          <w:shd w:val="clear" w:color="auto" w:fill="FFFFFF"/>
        </w:rPr>
        <w:t>027. Le risque relatif est de 1.64, les patients courent un risque de 1.64 d’avoir une baisse de taux de LDL par rapport aux témoins.</w:t>
      </w:r>
    </w:p>
    <w:p w:rsidR="00C91FA9" w:rsidRDefault="00C91FA9" w:rsidP="00C91FA9">
      <w:pPr>
        <w:spacing w:line="360" w:lineRule="auto"/>
        <w:ind w:firstLine="708"/>
        <w:jc w:val="both"/>
        <w:rPr>
          <w:rFonts w:asciiTheme="majorBidi" w:hAnsiTheme="majorBidi" w:cstheme="majorBidi"/>
          <w:color w:val="000000" w:themeColor="text1"/>
          <w:sz w:val="24"/>
          <w:szCs w:val="24"/>
          <w:shd w:val="clear" w:color="auto" w:fill="FFFFFF"/>
        </w:rPr>
      </w:pPr>
    </w:p>
    <w:p w:rsidR="00C91FA9" w:rsidRDefault="00C91FA9" w:rsidP="00C91FA9">
      <w:pPr>
        <w:spacing w:line="360" w:lineRule="auto"/>
        <w:ind w:firstLine="708"/>
        <w:jc w:val="both"/>
        <w:rPr>
          <w:rFonts w:asciiTheme="majorBidi" w:hAnsiTheme="majorBidi" w:cstheme="majorBidi"/>
          <w:color w:val="000000" w:themeColor="text1"/>
          <w:sz w:val="24"/>
          <w:szCs w:val="24"/>
          <w:shd w:val="clear" w:color="auto" w:fill="FFFFFF"/>
        </w:rPr>
      </w:pPr>
    </w:p>
    <w:p w:rsidR="00C91FA9" w:rsidRDefault="00C91FA9" w:rsidP="00C91FA9">
      <w:pPr>
        <w:spacing w:line="360" w:lineRule="auto"/>
        <w:ind w:firstLine="708"/>
        <w:jc w:val="both"/>
        <w:rPr>
          <w:rFonts w:asciiTheme="majorBidi" w:hAnsiTheme="majorBidi" w:cstheme="majorBidi"/>
          <w:color w:val="000000" w:themeColor="text1"/>
          <w:sz w:val="24"/>
          <w:szCs w:val="24"/>
          <w:shd w:val="clear" w:color="auto" w:fill="FFFFFF"/>
        </w:rPr>
      </w:pPr>
    </w:p>
    <w:p w:rsidR="00C91FA9" w:rsidRDefault="00C91FA9" w:rsidP="00C91FA9">
      <w:pPr>
        <w:spacing w:line="360" w:lineRule="auto"/>
        <w:ind w:firstLine="708"/>
        <w:jc w:val="both"/>
        <w:rPr>
          <w:rFonts w:asciiTheme="majorBidi" w:hAnsiTheme="majorBidi" w:cstheme="majorBidi"/>
          <w:color w:val="000000" w:themeColor="text1"/>
          <w:sz w:val="24"/>
          <w:szCs w:val="24"/>
          <w:shd w:val="clear" w:color="auto" w:fill="FFFFFF"/>
        </w:rPr>
      </w:pPr>
    </w:p>
    <w:p w:rsidR="00C91FA9" w:rsidRDefault="00C91FA9" w:rsidP="00C91FA9">
      <w:pPr>
        <w:spacing w:line="360" w:lineRule="auto"/>
        <w:ind w:firstLine="708"/>
        <w:jc w:val="both"/>
        <w:rPr>
          <w:rFonts w:asciiTheme="majorBidi" w:hAnsiTheme="majorBidi" w:cstheme="majorBidi"/>
          <w:color w:val="000000" w:themeColor="text1"/>
          <w:sz w:val="24"/>
          <w:szCs w:val="24"/>
          <w:shd w:val="clear" w:color="auto" w:fill="FFFFFF"/>
        </w:rPr>
      </w:pPr>
    </w:p>
    <w:p w:rsidR="00C91FA9" w:rsidRDefault="00C91FA9" w:rsidP="00C91FA9">
      <w:pPr>
        <w:spacing w:line="360" w:lineRule="auto"/>
        <w:ind w:firstLine="708"/>
        <w:jc w:val="both"/>
        <w:rPr>
          <w:rFonts w:asciiTheme="majorBidi" w:hAnsiTheme="majorBidi" w:cstheme="majorBidi"/>
          <w:color w:val="000000" w:themeColor="text1"/>
          <w:sz w:val="24"/>
          <w:szCs w:val="24"/>
          <w:shd w:val="clear" w:color="auto" w:fill="FFFFFF"/>
        </w:rPr>
      </w:pPr>
    </w:p>
    <w:p w:rsidR="00C91FA9" w:rsidRPr="0012185B" w:rsidRDefault="00C91FA9" w:rsidP="00A21FB0">
      <w:pPr>
        <w:pStyle w:val="Paragraphedeliste"/>
        <w:numPr>
          <w:ilvl w:val="1"/>
          <w:numId w:val="48"/>
        </w:numPr>
        <w:spacing w:after="160" w:line="360" w:lineRule="auto"/>
        <w:jc w:val="both"/>
        <w:rPr>
          <w:rFonts w:asciiTheme="majorBidi" w:hAnsiTheme="majorBidi" w:cstheme="majorBidi"/>
          <w:b/>
          <w:bCs/>
          <w:color w:val="7030A0"/>
          <w:sz w:val="28"/>
          <w:szCs w:val="28"/>
          <w:shd w:val="clear" w:color="auto" w:fill="FFFFFF"/>
        </w:rPr>
      </w:pPr>
      <w:r w:rsidRPr="0012185B">
        <w:rPr>
          <w:rFonts w:asciiTheme="majorBidi" w:hAnsiTheme="majorBidi" w:cstheme="majorBidi"/>
          <w:b/>
          <w:bCs/>
          <w:color w:val="7030A0"/>
          <w:sz w:val="28"/>
          <w:szCs w:val="28"/>
          <w:shd w:val="clear" w:color="auto" w:fill="FFFFFF"/>
        </w:rPr>
        <w:lastRenderedPageBreak/>
        <w:t>Répartition des malades et des témoins en fonction des taux de triglycéride</w:t>
      </w:r>
    </w:p>
    <w:p w:rsidR="00C91FA9" w:rsidRPr="0056031B" w:rsidRDefault="00C91FA9" w:rsidP="00C91FA9">
      <w:pPr>
        <w:spacing w:line="360" w:lineRule="auto"/>
        <w:ind w:firstLine="708"/>
        <w:jc w:val="both"/>
        <w:rPr>
          <w:rFonts w:asciiTheme="majorBidi" w:eastAsiaTheme="minorEastAsia" w:hAnsiTheme="majorBidi" w:cstheme="majorBidi"/>
          <w:b/>
          <w:bCs/>
          <w:color w:val="7030A0"/>
          <w:sz w:val="32"/>
          <w:szCs w:val="32"/>
          <w:lang w:eastAsia="fr-FR"/>
        </w:rPr>
      </w:pPr>
      <w:r w:rsidRPr="0056031B">
        <w:rPr>
          <w:rFonts w:asciiTheme="majorBidi" w:eastAsiaTheme="minorEastAsia" w:hAnsiTheme="majorBidi" w:cstheme="majorBidi"/>
          <w:sz w:val="24"/>
          <w:szCs w:val="24"/>
          <w:lang w:eastAsia="fr-FR"/>
        </w:rPr>
        <w:t>Le</w:t>
      </w:r>
      <w:r>
        <w:rPr>
          <w:rFonts w:asciiTheme="majorBidi" w:eastAsiaTheme="minorEastAsia" w:hAnsiTheme="majorBidi" w:cstheme="majorBidi"/>
          <w:sz w:val="24"/>
          <w:szCs w:val="24"/>
          <w:lang w:eastAsia="fr-FR"/>
        </w:rPr>
        <w:t>s</w:t>
      </w:r>
      <w:r w:rsidRPr="0056031B">
        <w:rPr>
          <w:rFonts w:asciiTheme="majorBidi" w:eastAsiaTheme="minorEastAsia" w:hAnsiTheme="majorBidi" w:cstheme="majorBidi"/>
          <w:sz w:val="24"/>
          <w:szCs w:val="24"/>
          <w:lang w:eastAsia="fr-FR"/>
        </w:rPr>
        <w:t xml:space="preserve"> taux de triglycéride de groupe malade et de groupe témoin </w:t>
      </w:r>
      <w:r>
        <w:rPr>
          <w:rFonts w:asciiTheme="majorBidi" w:eastAsiaTheme="minorEastAsia" w:hAnsiTheme="majorBidi" w:cstheme="majorBidi"/>
          <w:sz w:val="24"/>
          <w:szCs w:val="24"/>
          <w:lang w:eastAsia="fr-FR"/>
        </w:rPr>
        <w:t xml:space="preserve">sont </w:t>
      </w:r>
      <w:r w:rsidRPr="0056031B">
        <w:rPr>
          <w:rFonts w:asciiTheme="majorBidi" w:eastAsiaTheme="minorEastAsia" w:hAnsiTheme="majorBidi" w:cstheme="majorBidi"/>
          <w:sz w:val="24"/>
          <w:szCs w:val="24"/>
          <w:lang w:eastAsia="fr-FR"/>
        </w:rPr>
        <w:t>présenté dans le tableau ci-dessous </w:t>
      </w:r>
    </w:p>
    <w:p w:rsidR="00C91FA9" w:rsidRPr="007108CC" w:rsidRDefault="00C91FA9" w:rsidP="00C91FA9">
      <w:pPr>
        <w:spacing w:line="360" w:lineRule="auto"/>
        <w:jc w:val="center"/>
        <w:rPr>
          <w:rFonts w:asciiTheme="majorBidi" w:hAnsiTheme="majorBidi" w:cstheme="majorBidi"/>
          <w:sz w:val="24"/>
          <w:szCs w:val="24"/>
          <w:shd w:val="clear" w:color="auto" w:fill="FFFFFF"/>
        </w:rPr>
      </w:pPr>
      <w:r w:rsidRPr="00B572B8">
        <w:rPr>
          <w:rFonts w:asciiTheme="majorBidi" w:eastAsiaTheme="minorEastAsia" w:hAnsiTheme="majorBidi" w:cstheme="majorBidi"/>
          <w:b/>
          <w:bCs/>
          <w:sz w:val="24"/>
          <w:szCs w:val="24"/>
          <w:lang w:eastAsia="fr-FR"/>
        </w:rPr>
        <w:t>Tableau III .</w:t>
      </w:r>
      <w:r>
        <w:rPr>
          <w:rFonts w:asciiTheme="majorBidi" w:eastAsiaTheme="minorEastAsia" w:hAnsiTheme="majorBidi" w:cstheme="majorBidi"/>
          <w:b/>
          <w:bCs/>
          <w:sz w:val="24"/>
          <w:szCs w:val="24"/>
          <w:lang w:eastAsia="fr-FR"/>
        </w:rPr>
        <w:t>12</w:t>
      </w:r>
      <w:r w:rsidRPr="00B572B8">
        <w:rPr>
          <w:rFonts w:asciiTheme="majorBidi" w:eastAsiaTheme="minorEastAsia" w:hAnsiTheme="majorBidi" w:cstheme="majorBidi"/>
          <w:b/>
          <w:bCs/>
          <w:sz w:val="24"/>
          <w:szCs w:val="24"/>
          <w:lang w:eastAsia="fr-FR"/>
        </w:rPr>
        <w:t>.</w:t>
      </w:r>
      <w:r w:rsidRPr="007108CC">
        <w:rPr>
          <w:rFonts w:asciiTheme="majorBidi" w:hAnsiTheme="majorBidi" w:cstheme="majorBidi"/>
          <w:sz w:val="24"/>
          <w:szCs w:val="24"/>
          <w:shd w:val="clear" w:color="auto" w:fill="FFFFFF"/>
        </w:rPr>
        <w:t>Répartition des malades et des témoins en fonction des taux de triglycéride</w:t>
      </w:r>
    </w:p>
    <w:tbl>
      <w:tblPr>
        <w:tblStyle w:val="Grilleclaire-Accent4"/>
        <w:tblW w:w="0" w:type="auto"/>
        <w:jc w:val="center"/>
        <w:tblLook w:val="04A0"/>
      </w:tblPr>
      <w:tblGrid>
        <w:gridCol w:w="2943"/>
        <w:gridCol w:w="1560"/>
        <w:gridCol w:w="1842"/>
        <w:gridCol w:w="1560"/>
        <w:gridCol w:w="1589"/>
      </w:tblGrid>
      <w:tr w:rsidR="00C91FA9" w:rsidTr="00C91FA9">
        <w:trPr>
          <w:cnfStyle w:val="100000000000"/>
          <w:jc w:val="center"/>
        </w:trPr>
        <w:tc>
          <w:tcPr>
            <w:cnfStyle w:val="001000000000"/>
            <w:tcW w:w="2943" w:type="dxa"/>
          </w:tcPr>
          <w:p w:rsidR="00C91FA9" w:rsidRPr="005D2FE0" w:rsidRDefault="00C91FA9" w:rsidP="00C91FA9">
            <w:pPr>
              <w:spacing w:line="360" w:lineRule="auto"/>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 xml:space="preserve">Statut </w:t>
            </w:r>
          </w:p>
        </w:tc>
        <w:tc>
          <w:tcPr>
            <w:tcW w:w="1560" w:type="dxa"/>
          </w:tcPr>
          <w:p w:rsidR="00C91FA9" w:rsidRPr="005D2FE0" w:rsidRDefault="00C91FA9" w:rsidP="00C91FA9">
            <w:pPr>
              <w:spacing w:line="360" w:lineRule="auto"/>
              <w:cnfStyle w:val="100000000000"/>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Témoins %</w:t>
            </w:r>
          </w:p>
        </w:tc>
        <w:tc>
          <w:tcPr>
            <w:tcW w:w="1842" w:type="dxa"/>
          </w:tcPr>
          <w:p w:rsidR="00C91FA9" w:rsidRPr="005D2FE0" w:rsidRDefault="00C91FA9" w:rsidP="00C91FA9">
            <w:pPr>
              <w:spacing w:line="360" w:lineRule="auto"/>
              <w:cnfStyle w:val="100000000000"/>
              <w:rPr>
                <w:rFonts w:asciiTheme="majorBidi" w:eastAsiaTheme="minorEastAsia" w:hAnsiTheme="majorBidi" w:cstheme="majorBidi"/>
                <w:sz w:val="24"/>
                <w:szCs w:val="24"/>
                <w:lang w:eastAsia="fr-FR"/>
              </w:rPr>
            </w:pPr>
            <w:r w:rsidRPr="005D2FE0">
              <w:rPr>
                <w:rFonts w:asciiTheme="majorBidi" w:eastAsiaTheme="minorEastAsia" w:hAnsiTheme="majorBidi" w:cstheme="majorBidi"/>
                <w:sz w:val="24"/>
                <w:szCs w:val="24"/>
                <w:lang w:eastAsia="fr-FR"/>
              </w:rPr>
              <w:t>Echantillon %</w:t>
            </w:r>
          </w:p>
        </w:tc>
        <w:tc>
          <w:tcPr>
            <w:tcW w:w="1560" w:type="dxa"/>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χ2</w:t>
            </w:r>
          </w:p>
        </w:tc>
        <w:tc>
          <w:tcPr>
            <w:tcW w:w="1589" w:type="dxa"/>
          </w:tcPr>
          <w:p w:rsidR="00C91FA9" w:rsidRPr="009639A3" w:rsidRDefault="00C91FA9" w:rsidP="00C91FA9">
            <w:pPr>
              <w:spacing w:after="0" w:line="360" w:lineRule="auto"/>
              <w:jc w:val="both"/>
              <w:cnfStyle w:val="100000000000"/>
              <w:rPr>
                <w:rFonts w:asciiTheme="majorBidi" w:hAnsiTheme="majorBidi" w:cstheme="majorBidi"/>
                <w:sz w:val="24"/>
                <w:szCs w:val="24"/>
                <w:shd w:val="clear" w:color="auto" w:fill="FFFFFF"/>
                <w:lang w:eastAsia="fr-FR"/>
              </w:rPr>
            </w:pPr>
            <w:r w:rsidRPr="009639A3">
              <w:rPr>
                <w:rFonts w:asciiTheme="majorBidi" w:hAnsiTheme="majorBidi" w:cstheme="majorBidi"/>
                <w:sz w:val="24"/>
                <w:szCs w:val="24"/>
                <w:shd w:val="clear" w:color="auto" w:fill="FFFFFF"/>
                <w:lang w:eastAsia="fr-FR"/>
              </w:rPr>
              <w:t>P</w:t>
            </w:r>
          </w:p>
        </w:tc>
      </w:tr>
      <w:tr w:rsidR="00C91FA9" w:rsidTr="00C91FA9">
        <w:trPr>
          <w:cnfStyle w:val="000000100000"/>
          <w:jc w:val="center"/>
        </w:trPr>
        <w:tc>
          <w:tcPr>
            <w:cnfStyle w:val="001000000000"/>
            <w:tcW w:w="2943" w:type="dxa"/>
          </w:tcPr>
          <w:p w:rsidR="00C91FA9" w:rsidRPr="005F682F" w:rsidRDefault="00C91FA9" w:rsidP="00C91FA9">
            <w:pPr>
              <w:spacing w:line="360" w:lineRule="auto"/>
              <w:jc w:val="both"/>
              <w:rPr>
                <w:rFonts w:asciiTheme="majorBidi" w:eastAsiaTheme="minorEastAsia" w:hAnsiTheme="majorBidi" w:cstheme="majorBidi"/>
                <w:sz w:val="24"/>
                <w:szCs w:val="24"/>
                <w:lang w:eastAsia="fr-FR"/>
              </w:rPr>
            </w:pPr>
            <w:r w:rsidRPr="005F682F">
              <w:rPr>
                <w:rFonts w:asciiTheme="majorBidi" w:eastAsiaTheme="minorEastAsia" w:hAnsiTheme="majorBidi" w:cstheme="majorBidi"/>
                <w:sz w:val="24"/>
                <w:szCs w:val="24"/>
                <w:lang w:eastAsia="fr-FR"/>
              </w:rPr>
              <w:t xml:space="preserve">Triglycéride </w:t>
            </w:r>
          </w:p>
        </w:tc>
        <w:tc>
          <w:tcPr>
            <w:tcW w:w="1560" w:type="dxa"/>
          </w:tcPr>
          <w:p w:rsidR="00C91FA9" w:rsidRDefault="00C91FA9" w:rsidP="00C91FA9">
            <w:pPr>
              <w:spacing w:line="360" w:lineRule="auto"/>
              <w:jc w:val="both"/>
              <w:cnfStyle w:val="000000100000"/>
              <w:rPr>
                <w:rFonts w:asciiTheme="majorBidi" w:eastAsiaTheme="minorEastAsia" w:hAnsiTheme="majorBidi" w:cstheme="majorBidi"/>
                <w:b/>
                <w:bCs/>
                <w:sz w:val="24"/>
                <w:szCs w:val="24"/>
                <w:lang w:eastAsia="fr-FR"/>
              </w:rPr>
            </w:pPr>
          </w:p>
        </w:tc>
        <w:tc>
          <w:tcPr>
            <w:tcW w:w="1842" w:type="dxa"/>
          </w:tcPr>
          <w:p w:rsidR="00C91FA9" w:rsidRDefault="00C91FA9" w:rsidP="00C91FA9">
            <w:pPr>
              <w:spacing w:line="360" w:lineRule="auto"/>
              <w:jc w:val="both"/>
              <w:cnfStyle w:val="000000100000"/>
              <w:rPr>
                <w:rFonts w:asciiTheme="majorBidi" w:eastAsiaTheme="minorEastAsia" w:hAnsiTheme="majorBidi" w:cstheme="majorBidi"/>
                <w:b/>
                <w:bCs/>
                <w:sz w:val="24"/>
                <w:szCs w:val="24"/>
                <w:lang w:eastAsia="fr-FR"/>
              </w:rPr>
            </w:pPr>
          </w:p>
        </w:tc>
        <w:tc>
          <w:tcPr>
            <w:tcW w:w="1560" w:type="dxa"/>
          </w:tcPr>
          <w:p w:rsidR="00C91FA9" w:rsidRPr="004859BE" w:rsidRDefault="00C91FA9" w:rsidP="00C91FA9">
            <w:pPr>
              <w:spacing w:line="360" w:lineRule="auto"/>
              <w:jc w:val="center"/>
              <w:cnfStyle w:val="000000100000"/>
              <w:rPr>
                <w:rFonts w:asciiTheme="majorBidi" w:eastAsiaTheme="minorEastAsia" w:hAnsiTheme="majorBidi" w:cstheme="majorBidi"/>
                <w:b/>
                <w:bCs/>
                <w:sz w:val="24"/>
                <w:szCs w:val="24"/>
                <w:lang w:eastAsia="fr-FR"/>
              </w:rPr>
            </w:pPr>
            <w:r w:rsidRPr="004859BE">
              <w:rPr>
                <w:rFonts w:asciiTheme="majorBidi" w:eastAsiaTheme="minorEastAsia" w:hAnsiTheme="majorBidi" w:cstheme="majorBidi"/>
                <w:b/>
                <w:bCs/>
                <w:sz w:val="24"/>
                <w:szCs w:val="24"/>
                <w:lang w:eastAsia="fr-FR"/>
              </w:rPr>
              <w:t>3,009</w:t>
            </w:r>
          </w:p>
        </w:tc>
        <w:tc>
          <w:tcPr>
            <w:tcW w:w="1589" w:type="dxa"/>
          </w:tcPr>
          <w:p w:rsidR="00C91FA9" w:rsidRPr="004859BE" w:rsidRDefault="00C91FA9" w:rsidP="00C91FA9">
            <w:pPr>
              <w:spacing w:line="360" w:lineRule="auto"/>
              <w:jc w:val="center"/>
              <w:cnfStyle w:val="000000100000"/>
              <w:rPr>
                <w:rFonts w:asciiTheme="majorBidi" w:eastAsiaTheme="minorEastAsia" w:hAnsiTheme="majorBidi" w:cstheme="majorBidi"/>
                <w:b/>
                <w:bCs/>
                <w:sz w:val="24"/>
                <w:szCs w:val="24"/>
                <w:lang w:eastAsia="fr-FR"/>
              </w:rPr>
            </w:pPr>
            <w:r w:rsidRPr="004859BE">
              <w:rPr>
                <w:rFonts w:asciiTheme="majorBidi" w:eastAsiaTheme="minorEastAsia" w:hAnsiTheme="majorBidi" w:cstheme="majorBidi"/>
                <w:b/>
                <w:bCs/>
                <w:sz w:val="24"/>
                <w:szCs w:val="24"/>
                <w:lang w:eastAsia="fr-FR"/>
              </w:rPr>
              <w:t>0,222</w:t>
            </w:r>
          </w:p>
        </w:tc>
      </w:tr>
      <w:tr w:rsidR="00C91FA9" w:rsidTr="00C91FA9">
        <w:trPr>
          <w:cnfStyle w:val="000000010000"/>
          <w:jc w:val="center"/>
        </w:trPr>
        <w:tc>
          <w:tcPr>
            <w:cnfStyle w:val="001000000000"/>
            <w:tcW w:w="2943" w:type="dxa"/>
          </w:tcPr>
          <w:p w:rsidR="00C91FA9" w:rsidRPr="005F682F" w:rsidRDefault="00C91FA9" w:rsidP="00C91FA9">
            <w:pPr>
              <w:spacing w:line="360" w:lineRule="auto"/>
              <w:rPr>
                <w:rFonts w:asciiTheme="majorBidi" w:eastAsiaTheme="minorEastAsia" w:hAnsiTheme="majorBidi" w:cstheme="majorBidi"/>
                <w:sz w:val="24"/>
                <w:szCs w:val="24"/>
                <w:lang w:eastAsia="fr-FR"/>
              </w:rPr>
            </w:pPr>
            <w:r w:rsidRPr="005F682F">
              <w:rPr>
                <w:rFonts w:asciiTheme="majorBidi" w:eastAsiaTheme="minorEastAsia" w:hAnsiTheme="majorBidi" w:cstheme="majorBidi"/>
                <w:sz w:val="24"/>
                <w:szCs w:val="24"/>
                <w:lang w:eastAsia="fr-FR"/>
              </w:rPr>
              <w:t>Hyper-TG</w:t>
            </w:r>
          </w:p>
        </w:tc>
        <w:tc>
          <w:tcPr>
            <w:tcW w:w="1560" w:type="dxa"/>
          </w:tcPr>
          <w:p w:rsidR="00C91FA9" w:rsidRPr="004859BE" w:rsidRDefault="00C91FA9" w:rsidP="00C91FA9">
            <w:pPr>
              <w:spacing w:line="360" w:lineRule="auto"/>
              <w:jc w:val="center"/>
              <w:cnfStyle w:val="000000010000"/>
              <w:rPr>
                <w:rFonts w:asciiTheme="majorBidi" w:eastAsiaTheme="minorEastAsia" w:hAnsiTheme="majorBidi" w:cstheme="majorBidi"/>
                <w:b/>
                <w:bCs/>
                <w:sz w:val="24"/>
                <w:szCs w:val="24"/>
                <w:lang w:eastAsia="fr-FR"/>
              </w:rPr>
            </w:pPr>
            <w:r w:rsidRPr="004859BE">
              <w:rPr>
                <w:rFonts w:asciiTheme="majorBidi" w:eastAsiaTheme="minorEastAsia" w:hAnsiTheme="majorBidi" w:cstheme="majorBidi"/>
                <w:b/>
                <w:bCs/>
                <w:sz w:val="24"/>
                <w:szCs w:val="24"/>
                <w:lang w:eastAsia="fr-FR"/>
              </w:rPr>
              <w:t>10</w:t>
            </w:r>
          </w:p>
        </w:tc>
        <w:tc>
          <w:tcPr>
            <w:tcW w:w="1842" w:type="dxa"/>
          </w:tcPr>
          <w:p w:rsidR="00C91FA9" w:rsidRPr="004859BE" w:rsidRDefault="00C91FA9" w:rsidP="00C91FA9">
            <w:pPr>
              <w:spacing w:line="360" w:lineRule="auto"/>
              <w:jc w:val="center"/>
              <w:cnfStyle w:val="000000010000"/>
              <w:rPr>
                <w:rFonts w:asciiTheme="majorBidi" w:eastAsiaTheme="minorEastAsia" w:hAnsiTheme="majorBidi" w:cstheme="majorBidi"/>
                <w:b/>
                <w:bCs/>
                <w:sz w:val="24"/>
                <w:szCs w:val="24"/>
                <w:lang w:eastAsia="fr-FR"/>
              </w:rPr>
            </w:pPr>
            <w:r w:rsidRPr="004859BE">
              <w:rPr>
                <w:rFonts w:asciiTheme="majorBidi" w:eastAsiaTheme="minorEastAsia" w:hAnsiTheme="majorBidi" w:cstheme="majorBidi"/>
                <w:b/>
                <w:bCs/>
                <w:sz w:val="24"/>
                <w:szCs w:val="24"/>
                <w:lang w:eastAsia="fr-FR"/>
              </w:rPr>
              <w:t>13</w:t>
            </w:r>
          </w:p>
        </w:tc>
        <w:tc>
          <w:tcPr>
            <w:tcW w:w="1560" w:type="dxa"/>
          </w:tcPr>
          <w:p w:rsidR="00C91FA9" w:rsidRDefault="00C91FA9" w:rsidP="00C91FA9">
            <w:pPr>
              <w:spacing w:line="360" w:lineRule="auto"/>
              <w:jc w:val="center"/>
              <w:cnfStyle w:val="000000010000"/>
              <w:rPr>
                <w:rFonts w:asciiTheme="majorBidi" w:eastAsiaTheme="minorEastAsia" w:hAnsiTheme="majorBidi" w:cstheme="majorBidi"/>
                <w:b/>
                <w:bCs/>
                <w:sz w:val="24"/>
                <w:szCs w:val="24"/>
                <w:lang w:eastAsia="fr-FR"/>
              </w:rPr>
            </w:pPr>
          </w:p>
        </w:tc>
        <w:tc>
          <w:tcPr>
            <w:tcW w:w="1589" w:type="dxa"/>
          </w:tcPr>
          <w:p w:rsidR="00C91FA9" w:rsidRDefault="00C91FA9" w:rsidP="00C91FA9">
            <w:pPr>
              <w:spacing w:line="360" w:lineRule="auto"/>
              <w:jc w:val="center"/>
              <w:cnfStyle w:val="000000010000"/>
              <w:rPr>
                <w:rFonts w:asciiTheme="majorBidi" w:eastAsiaTheme="minorEastAsia" w:hAnsiTheme="majorBidi" w:cstheme="majorBidi"/>
                <w:b/>
                <w:bCs/>
                <w:sz w:val="24"/>
                <w:szCs w:val="24"/>
                <w:lang w:eastAsia="fr-FR"/>
              </w:rPr>
            </w:pPr>
          </w:p>
        </w:tc>
      </w:tr>
      <w:tr w:rsidR="00C91FA9" w:rsidTr="00C91FA9">
        <w:trPr>
          <w:cnfStyle w:val="000000100000"/>
          <w:jc w:val="center"/>
        </w:trPr>
        <w:tc>
          <w:tcPr>
            <w:cnfStyle w:val="001000000000"/>
            <w:tcW w:w="2943" w:type="dxa"/>
          </w:tcPr>
          <w:p w:rsidR="00C91FA9" w:rsidRPr="005F682F" w:rsidRDefault="00C91FA9" w:rsidP="00C91FA9">
            <w:pPr>
              <w:spacing w:line="360" w:lineRule="auto"/>
              <w:rPr>
                <w:rFonts w:asciiTheme="majorBidi" w:eastAsiaTheme="minorEastAsia" w:hAnsiTheme="majorBidi" w:cstheme="majorBidi"/>
                <w:sz w:val="24"/>
                <w:szCs w:val="24"/>
                <w:lang w:eastAsia="fr-FR"/>
              </w:rPr>
            </w:pPr>
            <w:r w:rsidRPr="005F682F">
              <w:rPr>
                <w:rFonts w:asciiTheme="majorBidi" w:eastAsiaTheme="minorEastAsia" w:hAnsiTheme="majorBidi" w:cstheme="majorBidi"/>
                <w:sz w:val="24"/>
                <w:szCs w:val="24"/>
                <w:lang w:eastAsia="fr-FR"/>
              </w:rPr>
              <w:t>Hypo-TG</w:t>
            </w:r>
          </w:p>
        </w:tc>
        <w:tc>
          <w:tcPr>
            <w:tcW w:w="1560" w:type="dxa"/>
          </w:tcPr>
          <w:p w:rsidR="00C91FA9" w:rsidRPr="004859BE" w:rsidRDefault="00C91FA9" w:rsidP="00C91FA9">
            <w:pPr>
              <w:spacing w:line="360" w:lineRule="auto"/>
              <w:jc w:val="center"/>
              <w:cnfStyle w:val="000000100000"/>
              <w:rPr>
                <w:rFonts w:asciiTheme="majorBidi" w:eastAsiaTheme="minorEastAsia" w:hAnsiTheme="majorBidi" w:cstheme="majorBidi"/>
                <w:b/>
                <w:bCs/>
                <w:sz w:val="24"/>
                <w:szCs w:val="24"/>
                <w:lang w:eastAsia="fr-FR"/>
              </w:rPr>
            </w:pPr>
            <w:r w:rsidRPr="004859BE">
              <w:rPr>
                <w:rFonts w:asciiTheme="majorBidi" w:eastAsiaTheme="minorEastAsia" w:hAnsiTheme="majorBidi" w:cstheme="majorBidi"/>
                <w:b/>
                <w:bCs/>
                <w:sz w:val="24"/>
                <w:szCs w:val="24"/>
                <w:lang w:eastAsia="fr-FR"/>
              </w:rPr>
              <w:t>09</w:t>
            </w:r>
          </w:p>
        </w:tc>
        <w:tc>
          <w:tcPr>
            <w:tcW w:w="1842" w:type="dxa"/>
          </w:tcPr>
          <w:p w:rsidR="00C91FA9" w:rsidRPr="004859BE" w:rsidRDefault="00C91FA9" w:rsidP="00C91FA9">
            <w:pPr>
              <w:spacing w:line="360" w:lineRule="auto"/>
              <w:jc w:val="center"/>
              <w:cnfStyle w:val="000000100000"/>
              <w:rPr>
                <w:rFonts w:asciiTheme="majorBidi" w:eastAsiaTheme="minorEastAsia" w:hAnsiTheme="majorBidi" w:cstheme="majorBidi"/>
                <w:b/>
                <w:bCs/>
                <w:sz w:val="24"/>
                <w:szCs w:val="24"/>
                <w:lang w:eastAsia="fr-FR"/>
              </w:rPr>
            </w:pPr>
            <w:r w:rsidRPr="004859BE">
              <w:rPr>
                <w:rFonts w:asciiTheme="majorBidi" w:eastAsiaTheme="minorEastAsia" w:hAnsiTheme="majorBidi" w:cstheme="majorBidi"/>
                <w:b/>
                <w:bCs/>
                <w:sz w:val="24"/>
                <w:szCs w:val="24"/>
                <w:lang w:eastAsia="fr-FR"/>
              </w:rPr>
              <w:t>16</w:t>
            </w:r>
          </w:p>
        </w:tc>
        <w:tc>
          <w:tcPr>
            <w:tcW w:w="1560" w:type="dxa"/>
          </w:tcPr>
          <w:p w:rsidR="00C91FA9" w:rsidRDefault="00C91FA9" w:rsidP="00C91FA9">
            <w:pPr>
              <w:spacing w:line="360" w:lineRule="auto"/>
              <w:jc w:val="center"/>
              <w:cnfStyle w:val="000000100000"/>
              <w:rPr>
                <w:rFonts w:asciiTheme="majorBidi" w:eastAsiaTheme="minorEastAsia" w:hAnsiTheme="majorBidi" w:cstheme="majorBidi"/>
                <w:b/>
                <w:bCs/>
                <w:sz w:val="24"/>
                <w:szCs w:val="24"/>
                <w:lang w:eastAsia="fr-FR"/>
              </w:rPr>
            </w:pPr>
          </w:p>
        </w:tc>
        <w:tc>
          <w:tcPr>
            <w:tcW w:w="1589" w:type="dxa"/>
          </w:tcPr>
          <w:p w:rsidR="00C91FA9" w:rsidRDefault="00C91FA9" w:rsidP="00C91FA9">
            <w:pPr>
              <w:spacing w:line="360" w:lineRule="auto"/>
              <w:jc w:val="center"/>
              <w:cnfStyle w:val="000000100000"/>
              <w:rPr>
                <w:rFonts w:asciiTheme="majorBidi" w:eastAsiaTheme="minorEastAsia" w:hAnsiTheme="majorBidi" w:cstheme="majorBidi"/>
                <w:b/>
                <w:bCs/>
                <w:sz w:val="24"/>
                <w:szCs w:val="24"/>
                <w:lang w:eastAsia="fr-FR"/>
              </w:rPr>
            </w:pPr>
          </w:p>
        </w:tc>
      </w:tr>
      <w:tr w:rsidR="00C91FA9" w:rsidTr="00C91FA9">
        <w:trPr>
          <w:cnfStyle w:val="000000010000"/>
          <w:jc w:val="center"/>
        </w:trPr>
        <w:tc>
          <w:tcPr>
            <w:cnfStyle w:val="001000000000"/>
            <w:tcW w:w="2943" w:type="dxa"/>
          </w:tcPr>
          <w:p w:rsidR="00C91FA9" w:rsidRPr="005F682F" w:rsidRDefault="00C91FA9" w:rsidP="00C91FA9">
            <w:pPr>
              <w:spacing w:line="360" w:lineRule="auto"/>
              <w:rPr>
                <w:rFonts w:asciiTheme="majorBidi" w:eastAsiaTheme="minorEastAsia" w:hAnsiTheme="majorBidi" w:cstheme="majorBidi"/>
                <w:sz w:val="24"/>
                <w:szCs w:val="24"/>
                <w:lang w:eastAsia="fr-FR"/>
              </w:rPr>
            </w:pPr>
            <w:r w:rsidRPr="005F682F">
              <w:rPr>
                <w:rFonts w:asciiTheme="majorBidi" w:eastAsiaTheme="minorEastAsia" w:hAnsiTheme="majorBidi" w:cstheme="majorBidi"/>
                <w:sz w:val="24"/>
                <w:szCs w:val="24"/>
                <w:lang w:eastAsia="fr-FR"/>
              </w:rPr>
              <w:t>Normal</w:t>
            </w:r>
          </w:p>
        </w:tc>
        <w:tc>
          <w:tcPr>
            <w:tcW w:w="1560" w:type="dxa"/>
          </w:tcPr>
          <w:p w:rsidR="00C91FA9" w:rsidRPr="004859BE" w:rsidRDefault="00C91FA9" w:rsidP="00C91FA9">
            <w:pPr>
              <w:spacing w:line="360" w:lineRule="auto"/>
              <w:jc w:val="center"/>
              <w:cnfStyle w:val="000000010000"/>
              <w:rPr>
                <w:rFonts w:asciiTheme="majorBidi" w:eastAsiaTheme="minorEastAsia" w:hAnsiTheme="majorBidi" w:cstheme="majorBidi"/>
                <w:b/>
                <w:bCs/>
                <w:sz w:val="24"/>
                <w:szCs w:val="24"/>
                <w:lang w:eastAsia="fr-FR"/>
              </w:rPr>
            </w:pPr>
            <w:r w:rsidRPr="004859BE">
              <w:rPr>
                <w:rFonts w:asciiTheme="majorBidi" w:eastAsiaTheme="minorEastAsia" w:hAnsiTheme="majorBidi" w:cstheme="majorBidi"/>
                <w:b/>
                <w:bCs/>
                <w:sz w:val="24"/>
                <w:szCs w:val="24"/>
                <w:lang w:eastAsia="fr-FR"/>
              </w:rPr>
              <w:t>81</w:t>
            </w:r>
          </w:p>
        </w:tc>
        <w:tc>
          <w:tcPr>
            <w:tcW w:w="1842" w:type="dxa"/>
          </w:tcPr>
          <w:p w:rsidR="00C91FA9" w:rsidRPr="004859BE" w:rsidRDefault="00C91FA9" w:rsidP="00C91FA9">
            <w:pPr>
              <w:spacing w:line="360" w:lineRule="auto"/>
              <w:jc w:val="center"/>
              <w:cnfStyle w:val="000000010000"/>
              <w:rPr>
                <w:rFonts w:asciiTheme="majorBidi" w:eastAsiaTheme="minorEastAsia" w:hAnsiTheme="majorBidi" w:cstheme="majorBidi"/>
                <w:b/>
                <w:bCs/>
                <w:sz w:val="24"/>
                <w:szCs w:val="24"/>
                <w:lang w:eastAsia="fr-FR"/>
              </w:rPr>
            </w:pPr>
            <w:r w:rsidRPr="004859BE">
              <w:rPr>
                <w:rFonts w:asciiTheme="majorBidi" w:eastAsiaTheme="minorEastAsia" w:hAnsiTheme="majorBidi" w:cstheme="majorBidi"/>
                <w:b/>
                <w:bCs/>
                <w:sz w:val="24"/>
                <w:szCs w:val="24"/>
                <w:lang w:eastAsia="fr-FR"/>
              </w:rPr>
              <w:t>71</w:t>
            </w:r>
          </w:p>
        </w:tc>
        <w:tc>
          <w:tcPr>
            <w:tcW w:w="1560" w:type="dxa"/>
          </w:tcPr>
          <w:p w:rsidR="00C91FA9" w:rsidRDefault="00C91FA9" w:rsidP="00C91FA9">
            <w:pPr>
              <w:spacing w:line="360" w:lineRule="auto"/>
              <w:jc w:val="center"/>
              <w:cnfStyle w:val="000000010000"/>
              <w:rPr>
                <w:rFonts w:asciiTheme="majorBidi" w:eastAsiaTheme="minorEastAsia" w:hAnsiTheme="majorBidi" w:cstheme="majorBidi"/>
                <w:b/>
                <w:bCs/>
                <w:sz w:val="24"/>
                <w:szCs w:val="24"/>
                <w:lang w:eastAsia="fr-FR"/>
              </w:rPr>
            </w:pPr>
          </w:p>
        </w:tc>
        <w:tc>
          <w:tcPr>
            <w:tcW w:w="1589" w:type="dxa"/>
          </w:tcPr>
          <w:p w:rsidR="00C91FA9" w:rsidRDefault="00C91FA9" w:rsidP="00C91FA9">
            <w:pPr>
              <w:spacing w:line="360" w:lineRule="auto"/>
              <w:jc w:val="center"/>
              <w:cnfStyle w:val="000000010000"/>
              <w:rPr>
                <w:rFonts w:asciiTheme="majorBidi" w:eastAsiaTheme="minorEastAsia" w:hAnsiTheme="majorBidi" w:cstheme="majorBidi"/>
                <w:b/>
                <w:bCs/>
                <w:sz w:val="24"/>
                <w:szCs w:val="24"/>
                <w:lang w:eastAsia="fr-FR"/>
              </w:rPr>
            </w:pPr>
          </w:p>
        </w:tc>
      </w:tr>
    </w:tbl>
    <w:p w:rsidR="00C91FA9" w:rsidRDefault="00C91FA9" w:rsidP="00C91FA9">
      <w:pPr>
        <w:spacing w:line="360" w:lineRule="auto"/>
        <w:ind w:firstLine="708"/>
        <w:rPr>
          <w:rFonts w:asciiTheme="majorBidi" w:eastAsiaTheme="minorEastAsia" w:hAnsiTheme="majorBidi" w:cstheme="majorBidi"/>
          <w:sz w:val="24"/>
          <w:szCs w:val="24"/>
          <w:lang w:eastAsia="fr-FR"/>
        </w:rPr>
      </w:pPr>
    </w:p>
    <w:p w:rsidR="00C91FA9" w:rsidRDefault="00C91FA9" w:rsidP="00E54399">
      <w:pPr>
        <w:spacing w:line="360" w:lineRule="auto"/>
        <w:ind w:firstLine="708"/>
        <w:rPr>
          <w:rFonts w:asciiTheme="majorBidi" w:eastAsiaTheme="minorEastAsia" w:hAnsiTheme="majorBidi" w:cstheme="majorBidi"/>
          <w:sz w:val="24"/>
          <w:szCs w:val="24"/>
          <w:lang w:eastAsia="fr-FR"/>
        </w:rPr>
      </w:pPr>
      <w:r w:rsidRPr="00060E76">
        <w:rPr>
          <w:rFonts w:asciiTheme="majorBidi" w:eastAsiaTheme="minorEastAsia" w:hAnsiTheme="majorBidi" w:cstheme="majorBidi"/>
          <w:sz w:val="24"/>
          <w:szCs w:val="24"/>
          <w:lang w:eastAsia="fr-FR"/>
        </w:rPr>
        <w:t>Dans ce tableau on’ a  pas observé de différences</w:t>
      </w:r>
      <w:r>
        <w:rPr>
          <w:rFonts w:asciiTheme="majorBidi" w:eastAsiaTheme="minorEastAsia" w:hAnsiTheme="majorBidi" w:cstheme="majorBidi"/>
          <w:sz w:val="24"/>
          <w:szCs w:val="24"/>
          <w:lang w:eastAsia="fr-FR"/>
        </w:rPr>
        <w:t xml:space="preserve"> statistiquement </w:t>
      </w:r>
      <w:r w:rsidRPr="00060E76">
        <w:rPr>
          <w:rFonts w:asciiTheme="majorBidi" w:eastAsiaTheme="minorEastAsia" w:hAnsiTheme="majorBidi" w:cstheme="majorBidi"/>
          <w:sz w:val="24"/>
          <w:szCs w:val="24"/>
          <w:lang w:eastAsia="fr-FR"/>
        </w:rPr>
        <w:t xml:space="preserve">significative </w:t>
      </w:r>
      <w:r>
        <w:rPr>
          <w:rFonts w:asciiTheme="majorBidi" w:eastAsiaTheme="minorEastAsia" w:hAnsiTheme="majorBidi" w:cstheme="majorBidi"/>
          <w:sz w:val="24"/>
          <w:szCs w:val="24"/>
          <w:lang w:eastAsia="fr-FR"/>
        </w:rPr>
        <w:t>entre les taux des triglycérides dans les deux groupes, p=0,222.</w:t>
      </w:r>
    </w:p>
    <w:p w:rsidR="00E54399" w:rsidRPr="00E54399" w:rsidRDefault="00E54399" w:rsidP="00E54399">
      <w:pPr>
        <w:spacing w:line="360" w:lineRule="auto"/>
        <w:ind w:firstLine="708"/>
        <w:rPr>
          <w:rFonts w:asciiTheme="majorBidi" w:eastAsiaTheme="minorEastAsia" w:hAnsiTheme="majorBidi" w:cstheme="majorBidi"/>
          <w:sz w:val="24"/>
          <w:szCs w:val="24"/>
          <w:lang w:eastAsia="fr-FR"/>
        </w:rPr>
      </w:pPr>
    </w:p>
    <w:p w:rsidR="00C91FA9" w:rsidRPr="0012185B" w:rsidRDefault="00C91FA9" w:rsidP="00A21FB0">
      <w:pPr>
        <w:pStyle w:val="Paragraphedeliste"/>
        <w:numPr>
          <w:ilvl w:val="0"/>
          <w:numId w:val="48"/>
        </w:numPr>
        <w:spacing w:after="160" w:line="259" w:lineRule="auto"/>
        <w:rPr>
          <w:rFonts w:asciiTheme="majorBidi" w:hAnsiTheme="majorBidi" w:cstheme="majorBidi"/>
          <w:color w:val="7030A0"/>
        </w:rPr>
      </w:pPr>
      <w:r w:rsidRPr="0012185B">
        <w:rPr>
          <w:rFonts w:asciiTheme="majorBidi" w:hAnsiTheme="majorBidi" w:cstheme="majorBidi"/>
          <w:b/>
          <w:bCs/>
          <w:color w:val="7030A0"/>
          <w:sz w:val="28"/>
          <w:szCs w:val="28"/>
        </w:rPr>
        <w:t xml:space="preserve">Corrélation dans le groupe VHC </w:t>
      </w:r>
      <w:r w:rsidRPr="0012185B">
        <w:rPr>
          <w:rFonts w:asciiTheme="majorBidi" w:hAnsiTheme="majorBidi" w:cstheme="majorBidi"/>
          <w:b/>
          <w:bCs/>
          <w:color w:val="7030A0"/>
          <w:sz w:val="28"/>
          <w:szCs w:val="28"/>
          <w:vertAlign w:val="superscript"/>
        </w:rPr>
        <w:t>+</w:t>
      </w:r>
      <w:r w:rsidRPr="0012185B">
        <w:rPr>
          <w:rFonts w:asciiTheme="majorBidi" w:hAnsiTheme="majorBidi" w:cstheme="majorBidi"/>
          <w:b/>
          <w:bCs/>
          <w:color w:val="7030A0"/>
          <w:sz w:val="28"/>
          <w:szCs w:val="28"/>
        </w:rPr>
        <w:t xml:space="preserve"> entre les paramètres lipidiques et les stades de fibrose hépatique.</w:t>
      </w:r>
    </w:p>
    <w:p w:rsidR="00C91FA9" w:rsidRDefault="00C91FA9" w:rsidP="00C91FA9">
      <w:pPr>
        <w:spacing w:line="360" w:lineRule="auto"/>
        <w:ind w:firstLine="142"/>
        <w:jc w:val="both"/>
        <w:rPr>
          <w:rFonts w:asciiTheme="majorBidi" w:hAnsiTheme="majorBidi" w:cstheme="majorBidi"/>
          <w:sz w:val="24"/>
          <w:szCs w:val="24"/>
        </w:rPr>
      </w:pPr>
      <w:r>
        <w:rPr>
          <w:rFonts w:asciiTheme="majorBidi" w:hAnsiTheme="majorBidi" w:cstheme="majorBidi"/>
          <w:sz w:val="24"/>
          <w:szCs w:val="24"/>
        </w:rPr>
        <w:t>Les taux de cholestérol</w:t>
      </w:r>
      <w:r w:rsidRPr="00EA2552">
        <w:rPr>
          <w:rFonts w:asciiTheme="majorBidi" w:hAnsiTheme="majorBidi" w:cstheme="majorBidi"/>
          <w:sz w:val="24"/>
          <w:szCs w:val="24"/>
        </w:rPr>
        <w:t>, LDL, HDL et TG ont été respectivement corrélés aux différents stades de fibrose hépatique.</w:t>
      </w:r>
    </w:p>
    <w:p w:rsidR="00C91FA9" w:rsidRPr="003608C4" w:rsidRDefault="00C91FA9" w:rsidP="00A21FB0">
      <w:pPr>
        <w:pStyle w:val="Paragraphedeliste"/>
        <w:numPr>
          <w:ilvl w:val="1"/>
          <w:numId w:val="49"/>
        </w:numPr>
        <w:spacing w:after="160" w:line="259" w:lineRule="auto"/>
        <w:rPr>
          <w:rFonts w:asciiTheme="majorBidi" w:hAnsiTheme="majorBidi" w:cstheme="majorBidi"/>
          <w:color w:val="7030A0"/>
          <w:sz w:val="28"/>
          <w:szCs w:val="28"/>
        </w:rPr>
      </w:pPr>
      <w:r w:rsidRPr="003608C4">
        <w:rPr>
          <w:rFonts w:asciiTheme="majorBidi" w:hAnsiTheme="majorBidi" w:cstheme="majorBidi"/>
          <w:b/>
          <w:bCs/>
          <w:color w:val="7030A0"/>
          <w:sz w:val="28"/>
          <w:szCs w:val="28"/>
        </w:rPr>
        <w:t xml:space="preserve">Corrélation dans le groupe VHC </w:t>
      </w:r>
      <w:r w:rsidRPr="003608C4">
        <w:rPr>
          <w:rFonts w:asciiTheme="majorBidi" w:hAnsiTheme="majorBidi" w:cstheme="majorBidi"/>
          <w:b/>
          <w:bCs/>
          <w:color w:val="7030A0"/>
          <w:sz w:val="28"/>
          <w:szCs w:val="28"/>
          <w:vertAlign w:val="superscript"/>
        </w:rPr>
        <w:t>+</w:t>
      </w:r>
      <w:r w:rsidRPr="003608C4">
        <w:rPr>
          <w:rFonts w:asciiTheme="majorBidi" w:hAnsiTheme="majorBidi" w:cstheme="majorBidi"/>
          <w:b/>
          <w:bCs/>
          <w:color w:val="7030A0"/>
          <w:sz w:val="28"/>
          <w:szCs w:val="28"/>
        </w:rPr>
        <w:t xml:space="preserve"> entre le taux de cholestérol et les stades de fibrose hépatique.</w:t>
      </w:r>
    </w:p>
    <w:p w:rsidR="00C91FA9" w:rsidRDefault="00C91FA9" w:rsidP="00C91FA9">
      <w:pPr>
        <w:pStyle w:val="Paragraphedeliste"/>
        <w:ind w:left="502"/>
        <w:jc w:val="both"/>
        <w:rPr>
          <w:rFonts w:asciiTheme="majorBidi" w:hAnsiTheme="majorBidi" w:cstheme="majorBidi"/>
          <w:bCs/>
          <w:sz w:val="23"/>
          <w:szCs w:val="23"/>
        </w:rPr>
      </w:pPr>
    </w:p>
    <w:p w:rsidR="00C91FA9" w:rsidRPr="005B3DE0" w:rsidRDefault="00C91FA9" w:rsidP="004E2073">
      <w:pPr>
        <w:pStyle w:val="Paragraphedeliste"/>
        <w:spacing w:line="360" w:lineRule="auto"/>
        <w:ind w:left="708" w:firstLine="206"/>
        <w:jc w:val="both"/>
        <w:rPr>
          <w:rFonts w:asciiTheme="majorBidi" w:hAnsiTheme="majorBidi" w:cstheme="majorBidi"/>
          <w:bCs/>
          <w:color w:val="7030A0"/>
        </w:rPr>
      </w:pPr>
      <w:r>
        <w:rPr>
          <w:rFonts w:asciiTheme="majorBidi" w:hAnsiTheme="majorBidi" w:cstheme="majorBidi"/>
          <w:bCs/>
          <w:sz w:val="23"/>
          <w:szCs w:val="23"/>
        </w:rPr>
        <w:t>L</w:t>
      </w:r>
      <w:r w:rsidRPr="005B3DE0">
        <w:rPr>
          <w:rFonts w:asciiTheme="majorBidi" w:hAnsiTheme="majorBidi" w:cstheme="majorBidi"/>
          <w:bCs/>
          <w:sz w:val="23"/>
          <w:szCs w:val="23"/>
        </w:rPr>
        <w:t xml:space="preserve">a corrélation du taux de cholestérol et les différents stades </w:t>
      </w:r>
      <w:r>
        <w:rPr>
          <w:rFonts w:asciiTheme="majorBidi" w:hAnsiTheme="majorBidi" w:cstheme="majorBidi"/>
          <w:bCs/>
          <w:sz w:val="23"/>
          <w:szCs w:val="23"/>
        </w:rPr>
        <w:t xml:space="preserve">de fibrose </w:t>
      </w:r>
      <w:r w:rsidRPr="005B3DE0">
        <w:rPr>
          <w:rFonts w:asciiTheme="majorBidi" w:hAnsiTheme="majorBidi" w:cstheme="majorBidi"/>
          <w:bCs/>
          <w:sz w:val="23"/>
          <w:szCs w:val="23"/>
        </w:rPr>
        <w:t>hépatique (</w:t>
      </w:r>
      <w:r w:rsidR="004E2073">
        <w:rPr>
          <w:rFonts w:asciiTheme="majorBidi" w:hAnsiTheme="majorBidi" w:cstheme="majorBidi"/>
          <w:bCs/>
          <w:sz w:val="23"/>
          <w:szCs w:val="23"/>
        </w:rPr>
        <w:t xml:space="preserve">figure </w:t>
      </w:r>
      <w:r w:rsidRPr="005B3DE0">
        <w:rPr>
          <w:rFonts w:asciiTheme="majorBidi" w:hAnsiTheme="majorBidi" w:cstheme="majorBidi"/>
          <w:bCs/>
          <w:sz w:val="23"/>
          <w:szCs w:val="23"/>
        </w:rPr>
        <w:t>III.3)</w:t>
      </w:r>
      <w:r>
        <w:rPr>
          <w:rFonts w:asciiTheme="majorBidi" w:hAnsiTheme="majorBidi" w:cstheme="majorBidi"/>
          <w:bCs/>
          <w:sz w:val="23"/>
          <w:szCs w:val="23"/>
        </w:rPr>
        <w:t xml:space="preserve"> montre </w:t>
      </w:r>
      <w:r w:rsidRPr="005B3DE0">
        <w:rPr>
          <w:rFonts w:asciiTheme="majorBidi" w:hAnsiTheme="majorBidi" w:cstheme="majorBidi"/>
          <w:bCs/>
          <w:sz w:val="23"/>
          <w:szCs w:val="23"/>
        </w:rPr>
        <w:t>que plus on avance dans le stade de fibrose le taux de cholestérol diminue</w:t>
      </w:r>
      <w:r>
        <w:rPr>
          <w:rFonts w:asciiTheme="majorBidi" w:hAnsiTheme="majorBidi" w:cstheme="majorBidi"/>
          <w:bCs/>
          <w:sz w:val="23"/>
          <w:szCs w:val="23"/>
        </w:rPr>
        <w:t xml:space="preserve"> cette corrélation n’est pas statistiquement significative</w:t>
      </w:r>
    </w:p>
    <w:p w:rsidR="00C91FA9" w:rsidRPr="005B3DE0" w:rsidRDefault="00C91FA9" w:rsidP="004E2073">
      <w:pPr>
        <w:pStyle w:val="Paragraphedeliste"/>
        <w:spacing w:line="360" w:lineRule="auto"/>
        <w:ind w:left="502"/>
        <w:jc w:val="both"/>
        <w:rPr>
          <w:rFonts w:asciiTheme="majorBidi" w:eastAsiaTheme="minorEastAsia" w:hAnsiTheme="majorBidi" w:cstheme="majorBidi"/>
          <w:color w:val="244061" w:themeColor="accent1" w:themeShade="80"/>
          <w:sz w:val="28"/>
          <w:szCs w:val="28"/>
          <w:lang w:eastAsia="fr-FR"/>
        </w:rPr>
      </w:pPr>
    </w:p>
    <w:p w:rsidR="00C91FA9" w:rsidRPr="00645916" w:rsidRDefault="00C91FA9" w:rsidP="00C91FA9">
      <w:pPr>
        <w:spacing w:line="360" w:lineRule="auto"/>
        <w:ind w:firstLine="142"/>
        <w:jc w:val="center"/>
        <w:rPr>
          <w:rFonts w:asciiTheme="majorBidi" w:hAnsiTheme="majorBidi" w:cstheme="majorBidi"/>
          <w:color w:val="7030A0"/>
          <w:sz w:val="20"/>
          <w:szCs w:val="20"/>
        </w:rPr>
      </w:pPr>
      <w:r>
        <w:rPr>
          <w:noProof/>
          <w:lang w:eastAsia="fr-FR"/>
        </w:rPr>
        <w:lastRenderedPageBreak/>
        <w:drawing>
          <wp:inline distT="0" distB="0" distL="0" distR="0">
            <wp:extent cx="4572000" cy="2743200"/>
            <wp:effectExtent l="0" t="0" r="19050" b="19050"/>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91FA9" w:rsidRPr="00970334" w:rsidRDefault="00C91FA9" w:rsidP="00C91FA9">
      <w:pPr>
        <w:jc w:val="center"/>
        <w:rPr>
          <w:rFonts w:asciiTheme="majorBidi" w:eastAsia="Times New Roman" w:hAnsiTheme="majorBidi" w:cstheme="majorBidi"/>
          <w:bCs/>
          <w:sz w:val="23"/>
          <w:szCs w:val="23"/>
        </w:rPr>
      </w:pPr>
      <w:r w:rsidRPr="00620CD0">
        <w:rPr>
          <w:rFonts w:asciiTheme="majorBidi" w:hAnsiTheme="majorBidi" w:cstheme="majorBidi"/>
          <w:b/>
          <w:sz w:val="24"/>
          <w:szCs w:val="24"/>
        </w:rPr>
        <w:t>Figure III.3</w:t>
      </w:r>
      <w:r w:rsidRPr="00620CD0">
        <w:rPr>
          <w:rFonts w:asciiTheme="majorBidi" w:hAnsiTheme="majorBidi" w:cstheme="majorBidi"/>
          <w:bCs/>
          <w:sz w:val="24"/>
          <w:szCs w:val="24"/>
        </w:rPr>
        <w:t>.</w:t>
      </w:r>
      <w:r w:rsidRPr="00620CD0">
        <w:rPr>
          <w:rFonts w:asciiTheme="majorBidi" w:hAnsiTheme="majorBidi" w:cstheme="majorBidi"/>
          <w:bCs/>
          <w:sz w:val="23"/>
          <w:szCs w:val="23"/>
        </w:rPr>
        <w:t xml:space="preserve"> Corrélation entre les taux de cholestérol et les stades de fibrose hépatique dans le groupe VHC+.</w:t>
      </w:r>
    </w:p>
    <w:p w:rsidR="00C91FA9" w:rsidRDefault="00C91FA9" w:rsidP="00C91FA9">
      <w:pPr>
        <w:pStyle w:val="Paragraphedeliste"/>
        <w:ind w:left="502"/>
      </w:pPr>
    </w:p>
    <w:p w:rsidR="00C91FA9" w:rsidRPr="003608C4" w:rsidRDefault="00C91FA9" w:rsidP="00A21FB0">
      <w:pPr>
        <w:pStyle w:val="Paragraphedeliste"/>
        <w:numPr>
          <w:ilvl w:val="1"/>
          <w:numId w:val="49"/>
        </w:numPr>
        <w:spacing w:after="160" w:line="259" w:lineRule="auto"/>
        <w:rPr>
          <w:rFonts w:asciiTheme="majorBidi" w:hAnsiTheme="majorBidi" w:cstheme="majorBidi"/>
          <w:color w:val="7030A0"/>
          <w:sz w:val="28"/>
          <w:szCs w:val="28"/>
        </w:rPr>
      </w:pPr>
      <w:r w:rsidRPr="003608C4">
        <w:rPr>
          <w:rFonts w:asciiTheme="majorBidi" w:hAnsiTheme="majorBidi" w:cstheme="majorBidi"/>
          <w:b/>
          <w:bCs/>
          <w:color w:val="7030A0"/>
          <w:sz w:val="28"/>
          <w:szCs w:val="28"/>
        </w:rPr>
        <w:t xml:space="preserve">Corrélation dans le groupe VHC </w:t>
      </w:r>
      <w:r w:rsidRPr="003608C4">
        <w:rPr>
          <w:rFonts w:asciiTheme="majorBidi" w:hAnsiTheme="majorBidi" w:cstheme="majorBidi"/>
          <w:b/>
          <w:bCs/>
          <w:color w:val="7030A0"/>
          <w:sz w:val="28"/>
          <w:szCs w:val="28"/>
          <w:vertAlign w:val="superscript"/>
        </w:rPr>
        <w:t>+</w:t>
      </w:r>
      <w:r w:rsidRPr="003608C4">
        <w:rPr>
          <w:rFonts w:asciiTheme="majorBidi" w:hAnsiTheme="majorBidi" w:cstheme="majorBidi"/>
          <w:b/>
          <w:bCs/>
          <w:color w:val="7030A0"/>
          <w:sz w:val="28"/>
          <w:szCs w:val="28"/>
        </w:rPr>
        <w:t xml:space="preserve"> entre le taux des LDL  et les stades de fibrose hépatique.</w:t>
      </w:r>
    </w:p>
    <w:p w:rsidR="00C91FA9" w:rsidRDefault="00C91FA9" w:rsidP="00C91FA9">
      <w:pPr>
        <w:pStyle w:val="Paragraphedeliste"/>
        <w:spacing w:line="360" w:lineRule="auto"/>
        <w:ind w:left="502"/>
        <w:jc w:val="both"/>
        <w:rPr>
          <w:rFonts w:asciiTheme="majorBidi" w:hAnsiTheme="majorBidi" w:cstheme="majorBidi"/>
          <w:bCs/>
          <w:sz w:val="24"/>
          <w:szCs w:val="24"/>
        </w:rPr>
      </w:pPr>
    </w:p>
    <w:p w:rsidR="00C91FA9" w:rsidRPr="00970334" w:rsidRDefault="00C91FA9" w:rsidP="00C91FA9">
      <w:pPr>
        <w:pStyle w:val="Paragraphedeliste"/>
        <w:spacing w:line="360" w:lineRule="auto"/>
        <w:ind w:left="708" w:firstLine="206"/>
        <w:jc w:val="both"/>
        <w:rPr>
          <w:rFonts w:asciiTheme="majorBidi" w:hAnsiTheme="majorBidi" w:cstheme="majorBidi"/>
          <w:bCs/>
          <w:color w:val="7030A0"/>
        </w:rPr>
      </w:pPr>
      <w:r>
        <w:rPr>
          <w:rFonts w:asciiTheme="majorBidi" w:hAnsiTheme="majorBidi" w:cstheme="majorBidi"/>
          <w:bCs/>
          <w:sz w:val="23"/>
          <w:szCs w:val="23"/>
        </w:rPr>
        <w:t>L</w:t>
      </w:r>
      <w:r w:rsidRPr="005B3DE0">
        <w:rPr>
          <w:rFonts w:asciiTheme="majorBidi" w:hAnsiTheme="majorBidi" w:cstheme="majorBidi"/>
          <w:bCs/>
          <w:sz w:val="23"/>
          <w:szCs w:val="23"/>
        </w:rPr>
        <w:t>a corrélation du taux de</w:t>
      </w:r>
      <w:r>
        <w:rPr>
          <w:rFonts w:asciiTheme="majorBidi" w:hAnsiTheme="majorBidi" w:cstheme="majorBidi"/>
          <w:bCs/>
          <w:sz w:val="23"/>
          <w:szCs w:val="23"/>
        </w:rPr>
        <w:t xml:space="preserve">s LDL </w:t>
      </w:r>
      <w:r w:rsidRPr="005B3DE0">
        <w:rPr>
          <w:rFonts w:asciiTheme="majorBidi" w:hAnsiTheme="majorBidi" w:cstheme="majorBidi"/>
          <w:bCs/>
          <w:sz w:val="23"/>
          <w:szCs w:val="23"/>
        </w:rPr>
        <w:t xml:space="preserve"> et les différents stades </w:t>
      </w:r>
      <w:r>
        <w:rPr>
          <w:rFonts w:asciiTheme="majorBidi" w:hAnsiTheme="majorBidi" w:cstheme="majorBidi"/>
          <w:bCs/>
          <w:sz w:val="23"/>
          <w:szCs w:val="23"/>
        </w:rPr>
        <w:t xml:space="preserve">de fibrose </w:t>
      </w:r>
      <w:r w:rsidRPr="005B3DE0">
        <w:rPr>
          <w:rFonts w:asciiTheme="majorBidi" w:hAnsiTheme="majorBidi" w:cstheme="majorBidi"/>
          <w:bCs/>
          <w:sz w:val="23"/>
          <w:szCs w:val="23"/>
        </w:rPr>
        <w:t>hépatique (</w:t>
      </w:r>
      <w:r>
        <w:rPr>
          <w:rFonts w:asciiTheme="majorBidi" w:hAnsiTheme="majorBidi" w:cstheme="majorBidi"/>
          <w:bCs/>
          <w:sz w:val="23"/>
          <w:szCs w:val="23"/>
        </w:rPr>
        <w:t xml:space="preserve">figure </w:t>
      </w:r>
      <w:r w:rsidRPr="005B3DE0">
        <w:rPr>
          <w:rFonts w:asciiTheme="majorBidi" w:hAnsiTheme="majorBidi" w:cstheme="majorBidi"/>
          <w:bCs/>
          <w:sz w:val="23"/>
          <w:szCs w:val="23"/>
        </w:rPr>
        <w:t>III.</w:t>
      </w:r>
      <w:r>
        <w:rPr>
          <w:rFonts w:asciiTheme="majorBidi" w:hAnsiTheme="majorBidi" w:cstheme="majorBidi"/>
          <w:bCs/>
          <w:sz w:val="23"/>
          <w:szCs w:val="23"/>
        </w:rPr>
        <w:t>4</w:t>
      </w:r>
      <w:r w:rsidRPr="005B3DE0">
        <w:rPr>
          <w:rFonts w:asciiTheme="majorBidi" w:hAnsiTheme="majorBidi" w:cstheme="majorBidi"/>
          <w:bCs/>
          <w:sz w:val="23"/>
          <w:szCs w:val="23"/>
        </w:rPr>
        <w:t>)</w:t>
      </w:r>
      <w:r>
        <w:rPr>
          <w:rFonts w:asciiTheme="majorBidi" w:hAnsiTheme="majorBidi" w:cstheme="majorBidi"/>
          <w:bCs/>
          <w:sz w:val="23"/>
          <w:szCs w:val="23"/>
        </w:rPr>
        <w:t xml:space="preserve"> montre </w:t>
      </w:r>
      <w:r w:rsidRPr="005B3DE0">
        <w:rPr>
          <w:rFonts w:asciiTheme="majorBidi" w:hAnsiTheme="majorBidi" w:cstheme="majorBidi"/>
          <w:bCs/>
          <w:sz w:val="23"/>
          <w:szCs w:val="23"/>
        </w:rPr>
        <w:t>que plus on avance dans le stade de fibrose le taux de</w:t>
      </w:r>
      <w:r>
        <w:rPr>
          <w:rFonts w:asciiTheme="majorBidi" w:hAnsiTheme="majorBidi" w:cstheme="majorBidi"/>
          <w:bCs/>
          <w:sz w:val="23"/>
          <w:szCs w:val="23"/>
        </w:rPr>
        <w:t>s LDL</w:t>
      </w:r>
      <w:r w:rsidRPr="005B3DE0">
        <w:rPr>
          <w:rFonts w:asciiTheme="majorBidi" w:hAnsiTheme="majorBidi" w:cstheme="majorBidi"/>
          <w:bCs/>
          <w:sz w:val="23"/>
          <w:szCs w:val="23"/>
        </w:rPr>
        <w:t xml:space="preserve"> diminue</w:t>
      </w:r>
      <w:r>
        <w:rPr>
          <w:rFonts w:asciiTheme="majorBidi" w:hAnsiTheme="majorBidi" w:cstheme="majorBidi"/>
          <w:bCs/>
          <w:sz w:val="23"/>
          <w:szCs w:val="23"/>
        </w:rPr>
        <w:t>. Cette corrélation n’est pas statistiquement significative</w:t>
      </w:r>
    </w:p>
    <w:p w:rsidR="00C91FA9" w:rsidRPr="00620CD0" w:rsidRDefault="00C91FA9" w:rsidP="00C91FA9">
      <w:pPr>
        <w:spacing w:line="360" w:lineRule="auto"/>
        <w:jc w:val="center"/>
        <w:rPr>
          <w:rFonts w:asciiTheme="majorBidi" w:eastAsiaTheme="minorEastAsia" w:hAnsiTheme="majorBidi" w:cstheme="majorBidi"/>
          <w:color w:val="244061" w:themeColor="accent1" w:themeShade="80"/>
          <w:sz w:val="28"/>
          <w:szCs w:val="28"/>
          <w:lang w:eastAsia="fr-FR"/>
        </w:rPr>
      </w:pPr>
      <w:r>
        <w:rPr>
          <w:noProof/>
          <w:lang w:eastAsia="fr-FR"/>
        </w:rPr>
        <w:drawing>
          <wp:inline distT="0" distB="0" distL="0" distR="0">
            <wp:extent cx="4572000" cy="2961861"/>
            <wp:effectExtent l="0" t="0" r="0" b="0"/>
            <wp:docPr id="58" name="Graphique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91FA9" w:rsidRPr="009C1AF7" w:rsidRDefault="00C91FA9" w:rsidP="00C91FA9">
      <w:pPr>
        <w:jc w:val="center"/>
      </w:pPr>
    </w:p>
    <w:p w:rsidR="00C91FA9" w:rsidRDefault="00C91FA9" w:rsidP="00C91FA9">
      <w:pPr>
        <w:jc w:val="center"/>
        <w:rPr>
          <w:rFonts w:asciiTheme="majorBidi" w:hAnsiTheme="majorBidi" w:cstheme="majorBidi"/>
          <w:bCs/>
          <w:sz w:val="23"/>
          <w:szCs w:val="23"/>
        </w:rPr>
      </w:pPr>
      <w:r w:rsidRPr="00620CD0">
        <w:rPr>
          <w:rFonts w:asciiTheme="majorBidi" w:hAnsiTheme="majorBidi" w:cstheme="majorBidi"/>
          <w:b/>
          <w:sz w:val="24"/>
          <w:szCs w:val="24"/>
        </w:rPr>
        <w:t>Figure III.</w:t>
      </w:r>
      <w:r>
        <w:rPr>
          <w:rFonts w:asciiTheme="majorBidi" w:hAnsiTheme="majorBidi" w:cstheme="majorBidi"/>
          <w:b/>
          <w:sz w:val="24"/>
          <w:szCs w:val="24"/>
        </w:rPr>
        <w:t>4</w:t>
      </w:r>
      <w:r w:rsidRPr="00620CD0">
        <w:rPr>
          <w:rFonts w:asciiTheme="majorBidi" w:hAnsiTheme="majorBidi" w:cstheme="majorBidi"/>
          <w:bCs/>
          <w:sz w:val="24"/>
          <w:szCs w:val="24"/>
        </w:rPr>
        <w:t>.</w:t>
      </w:r>
      <w:r w:rsidR="00E54399">
        <w:rPr>
          <w:rFonts w:asciiTheme="majorBidi" w:hAnsiTheme="majorBidi" w:cstheme="majorBidi"/>
          <w:bCs/>
          <w:sz w:val="24"/>
          <w:szCs w:val="24"/>
        </w:rPr>
        <w:t xml:space="preserve"> </w:t>
      </w:r>
      <w:r>
        <w:rPr>
          <w:rFonts w:asciiTheme="majorBidi" w:hAnsiTheme="majorBidi" w:cstheme="majorBidi"/>
          <w:bCs/>
          <w:sz w:val="23"/>
          <w:szCs w:val="23"/>
        </w:rPr>
        <w:t>Corrélation entre les taux d’LDL</w:t>
      </w:r>
      <w:r w:rsidRPr="00620CD0">
        <w:rPr>
          <w:rFonts w:asciiTheme="majorBidi" w:hAnsiTheme="majorBidi" w:cstheme="majorBidi"/>
          <w:bCs/>
          <w:sz w:val="23"/>
          <w:szCs w:val="23"/>
        </w:rPr>
        <w:t xml:space="preserve"> et les stades de fibrose hépatique dans le groupe VHC+.</w:t>
      </w:r>
    </w:p>
    <w:p w:rsidR="00C91FA9" w:rsidRPr="003608C4" w:rsidRDefault="00C91FA9" w:rsidP="00A21FB0">
      <w:pPr>
        <w:pStyle w:val="Paragraphedeliste"/>
        <w:numPr>
          <w:ilvl w:val="1"/>
          <w:numId w:val="49"/>
        </w:numPr>
        <w:spacing w:after="160" w:line="259" w:lineRule="auto"/>
        <w:rPr>
          <w:rFonts w:asciiTheme="majorBidi" w:hAnsiTheme="majorBidi" w:cstheme="majorBidi"/>
          <w:color w:val="7030A0"/>
          <w:sz w:val="28"/>
          <w:szCs w:val="28"/>
        </w:rPr>
      </w:pPr>
      <w:r w:rsidRPr="003608C4">
        <w:rPr>
          <w:rFonts w:asciiTheme="majorBidi" w:hAnsiTheme="majorBidi" w:cstheme="majorBidi"/>
          <w:b/>
          <w:bCs/>
          <w:color w:val="7030A0"/>
          <w:sz w:val="28"/>
          <w:szCs w:val="28"/>
        </w:rPr>
        <w:lastRenderedPageBreak/>
        <w:t xml:space="preserve">Corrélation dans le groupe VHC </w:t>
      </w:r>
      <w:r w:rsidRPr="003608C4">
        <w:rPr>
          <w:rFonts w:asciiTheme="majorBidi" w:hAnsiTheme="majorBidi" w:cstheme="majorBidi"/>
          <w:b/>
          <w:bCs/>
          <w:color w:val="7030A0"/>
          <w:sz w:val="28"/>
          <w:szCs w:val="28"/>
          <w:vertAlign w:val="superscript"/>
        </w:rPr>
        <w:t>+</w:t>
      </w:r>
      <w:r w:rsidRPr="003608C4">
        <w:rPr>
          <w:rFonts w:asciiTheme="majorBidi" w:hAnsiTheme="majorBidi" w:cstheme="majorBidi"/>
          <w:b/>
          <w:bCs/>
          <w:color w:val="7030A0"/>
          <w:sz w:val="28"/>
          <w:szCs w:val="28"/>
        </w:rPr>
        <w:t xml:space="preserve"> entre le taux des HDL et les stades de fibrose hépatique.</w:t>
      </w:r>
    </w:p>
    <w:p w:rsidR="00C91FA9" w:rsidRDefault="00C91FA9" w:rsidP="00C91FA9">
      <w:pPr>
        <w:pStyle w:val="Paragraphedeliste"/>
        <w:spacing w:line="360" w:lineRule="auto"/>
        <w:ind w:left="502"/>
        <w:jc w:val="both"/>
        <w:rPr>
          <w:rFonts w:asciiTheme="majorBidi" w:hAnsiTheme="majorBidi" w:cstheme="majorBidi"/>
          <w:bCs/>
          <w:sz w:val="23"/>
          <w:szCs w:val="23"/>
        </w:rPr>
      </w:pPr>
    </w:p>
    <w:p w:rsidR="00C91FA9" w:rsidRPr="005B3DE0" w:rsidRDefault="00C91FA9" w:rsidP="00C91FA9">
      <w:pPr>
        <w:pStyle w:val="Paragraphedeliste"/>
        <w:spacing w:line="360" w:lineRule="auto"/>
        <w:ind w:left="502"/>
        <w:jc w:val="both"/>
        <w:rPr>
          <w:rFonts w:asciiTheme="majorBidi" w:hAnsiTheme="majorBidi" w:cstheme="majorBidi"/>
          <w:bCs/>
          <w:color w:val="7030A0"/>
        </w:rPr>
      </w:pPr>
      <w:r>
        <w:rPr>
          <w:rFonts w:asciiTheme="majorBidi" w:hAnsiTheme="majorBidi" w:cstheme="majorBidi"/>
          <w:bCs/>
          <w:sz w:val="23"/>
          <w:szCs w:val="23"/>
        </w:rPr>
        <w:t xml:space="preserve">L’analyse de la corrélation du  </w:t>
      </w:r>
      <w:r w:rsidRPr="005B3DE0">
        <w:rPr>
          <w:rFonts w:asciiTheme="majorBidi" w:hAnsiTheme="majorBidi" w:cstheme="majorBidi"/>
          <w:bCs/>
          <w:sz w:val="23"/>
          <w:szCs w:val="23"/>
        </w:rPr>
        <w:t>taux de</w:t>
      </w:r>
      <w:r>
        <w:rPr>
          <w:rFonts w:asciiTheme="majorBidi" w:hAnsiTheme="majorBidi" w:cstheme="majorBidi"/>
          <w:bCs/>
          <w:sz w:val="23"/>
          <w:szCs w:val="23"/>
        </w:rPr>
        <w:t>s HDL  n’est pas statistiquement significative figure III.5</w:t>
      </w:r>
    </w:p>
    <w:p w:rsidR="00C91FA9" w:rsidRPr="00E54399" w:rsidRDefault="00C91FA9" w:rsidP="00E54399">
      <w:pPr>
        <w:pStyle w:val="Paragraphedeliste"/>
        <w:spacing w:line="360" w:lineRule="auto"/>
        <w:ind w:left="502"/>
        <w:jc w:val="center"/>
        <w:rPr>
          <w:rFonts w:asciiTheme="majorBidi" w:hAnsiTheme="majorBidi" w:cstheme="majorBidi"/>
          <w:bCs/>
          <w:sz w:val="24"/>
          <w:szCs w:val="24"/>
        </w:rPr>
      </w:pPr>
      <w:r>
        <w:rPr>
          <w:noProof/>
          <w:lang w:eastAsia="fr-FR"/>
        </w:rPr>
        <w:drawing>
          <wp:inline distT="0" distB="0" distL="0" distR="0">
            <wp:extent cx="4572000" cy="2743200"/>
            <wp:effectExtent l="0" t="0" r="19050" b="19050"/>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91FA9" w:rsidRPr="00EA2552" w:rsidRDefault="00C91FA9" w:rsidP="00C91FA9">
      <w:pPr>
        <w:jc w:val="center"/>
        <w:rPr>
          <w:rFonts w:asciiTheme="majorBidi" w:hAnsiTheme="majorBidi" w:cstheme="majorBidi"/>
          <w:bCs/>
          <w:color w:val="7030A0"/>
        </w:rPr>
      </w:pPr>
      <w:r w:rsidRPr="00620CD0">
        <w:rPr>
          <w:rFonts w:asciiTheme="majorBidi" w:hAnsiTheme="majorBidi" w:cstheme="majorBidi"/>
          <w:b/>
          <w:sz w:val="24"/>
          <w:szCs w:val="24"/>
        </w:rPr>
        <w:t>Figure III.</w:t>
      </w:r>
      <w:r>
        <w:rPr>
          <w:rFonts w:asciiTheme="majorBidi" w:hAnsiTheme="majorBidi" w:cstheme="majorBidi"/>
          <w:b/>
          <w:sz w:val="24"/>
          <w:szCs w:val="24"/>
        </w:rPr>
        <w:t>5</w:t>
      </w:r>
      <w:r w:rsidRPr="00620CD0">
        <w:rPr>
          <w:rFonts w:asciiTheme="majorBidi" w:hAnsiTheme="majorBidi" w:cstheme="majorBidi"/>
          <w:bCs/>
          <w:sz w:val="24"/>
          <w:szCs w:val="24"/>
        </w:rPr>
        <w:t>.</w:t>
      </w:r>
      <w:r w:rsidR="00E54399">
        <w:rPr>
          <w:rFonts w:asciiTheme="majorBidi" w:hAnsiTheme="majorBidi" w:cstheme="majorBidi"/>
          <w:bCs/>
          <w:sz w:val="24"/>
          <w:szCs w:val="24"/>
        </w:rPr>
        <w:t xml:space="preserve"> </w:t>
      </w:r>
      <w:r>
        <w:rPr>
          <w:rFonts w:asciiTheme="majorBidi" w:hAnsiTheme="majorBidi" w:cstheme="majorBidi"/>
          <w:bCs/>
          <w:sz w:val="23"/>
          <w:szCs w:val="23"/>
        </w:rPr>
        <w:t>Corrélation entre les taux d’HDL</w:t>
      </w:r>
      <w:r w:rsidRPr="00620CD0">
        <w:rPr>
          <w:rFonts w:asciiTheme="majorBidi" w:hAnsiTheme="majorBidi" w:cstheme="majorBidi"/>
          <w:bCs/>
          <w:sz w:val="23"/>
          <w:szCs w:val="23"/>
        </w:rPr>
        <w:t xml:space="preserve"> et les stades de fibrose hépatique dans le groupe VHC+.</w:t>
      </w:r>
    </w:p>
    <w:p w:rsidR="00C91FA9" w:rsidRPr="003608C4" w:rsidRDefault="00C91FA9" w:rsidP="00A21FB0">
      <w:pPr>
        <w:pStyle w:val="Paragraphedeliste"/>
        <w:numPr>
          <w:ilvl w:val="1"/>
          <w:numId w:val="49"/>
        </w:numPr>
        <w:spacing w:after="160" w:line="259" w:lineRule="auto"/>
        <w:rPr>
          <w:rFonts w:asciiTheme="majorBidi" w:hAnsiTheme="majorBidi" w:cstheme="majorBidi"/>
          <w:color w:val="7030A0"/>
          <w:sz w:val="28"/>
          <w:szCs w:val="28"/>
        </w:rPr>
      </w:pPr>
      <w:r w:rsidRPr="003608C4">
        <w:rPr>
          <w:rFonts w:asciiTheme="majorBidi" w:hAnsiTheme="majorBidi" w:cstheme="majorBidi"/>
          <w:b/>
          <w:bCs/>
          <w:color w:val="7030A0"/>
          <w:sz w:val="28"/>
          <w:szCs w:val="28"/>
        </w:rPr>
        <w:t xml:space="preserve">Corrélation dans le groupe VHC </w:t>
      </w:r>
      <w:r w:rsidRPr="003608C4">
        <w:rPr>
          <w:rFonts w:asciiTheme="majorBidi" w:hAnsiTheme="majorBidi" w:cstheme="majorBidi"/>
          <w:b/>
          <w:bCs/>
          <w:color w:val="7030A0"/>
          <w:sz w:val="28"/>
          <w:szCs w:val="28"/>
          <w:vertAlign w:val="superscript"/>
        </w:rPr>
        <w:t>+</w:t>
      </w:r>
      <w:r w:rsidRPr="003608C4">
        <w:rPr>
          <w:rFonts w:asciiTheme="majorBidi" w:hAnsiTheme="majorBidi" w:cstheme="majorBidi"/>
          <w:b/>
          <w:bCs/>
          <w:color w:val="7030A0"/>
          <w:sz w:val="28"/>
          <w:szCs w:val="28"/>
        </w:rPr>
        <w:t xml:space="preserve"> entre le taux des triglycérides et les stades de fibrose hépatique.</w:t>
      </w:r>
    </w:p>
    <w:p w:rsidR="00C91FA9" w:rsidRPr="004305CD" w:rsidRDefault="00C91FA9" w:rsidP="00C91FA9">
      <w:pPr>
        <w:pStyle w:val="Paragraphedeliste"/>
        <w:spacing w:line="360" w:lineRule="auto"/>
        <w:ind w:left="502"/>
        <w:jc w:val="both"/>
        <w:rPr>
          <w:rFonts w:asciiTheme="majorBidi" w:hAnsiTheme="majorBidi" w:cstheme="majorBidi"/>
          <w:bCs/>
          <w:sz w:val="24"/>
          <w:szCs w:val="24"/>
        </w:rPr>
      </w:pPr>
    </w:p>
    <w:p w:rsidR="00C91FA9" w:rsidRPr="005B3DE0" w:rsidRDefault="00C91FA9" w:rsidP="00C91FA9">
      <w:pPr>
        <w:pStyle w:val="Paragraphedeliste"/>
        <w:spacing w:line="360" w:lineRule="auto"/>
        <w:ind w:left="502" w:firstLine="206"/>
        <w:jc w:val="both"/>
        <w:rPr>
          <w:rFonts w:asciiTheme="majorBidi" w:hAnsiTheme="majorBidi" w:cstheme="majorBidi"/>
          <w:bCs/>
          <w:color w:val="7030A0"/>
        </w:rPr>
      </w:pPr>
      <w:r>
        <w:rPr>
          <w:rFonts w:asciiTheme="majorBidi" w:hAnsiTheme="majorBidi" w:cstheme="majorBidi"/>
          <w:bCs/>
          <w:sz w:val="23"/>
          <w:szCs w:val="23"/>
        </w:rPr>
        <w:t xml:space="preserve">L’analyse de la corrélation du  </w:t>
      </w:r>
      <w:r w:rsidRPr="005B3DE0">
        <w:rPr>
          <w:rFonts w:asciiTheme="majorBidi" w:hAnsiTheme="majorBidi" w:cstheme="majorBidi"/>
          <w:bCs/>
          <w:sz w:val="23"/>
          <w:szCs w:val="23"/>
        </w:rPr>
        <w:t>taux de</w:t>
      </w:r>
      <w:r>
        <w:rPr>
          <w:rFonts w:asciiTheme="majorBidi" w:hAnsiTheme="majorBidi" w:cstheme="majorBidi"/>
          <w:bCs/>
          <w:sz w:val="23"/>
          <w:szCs w:val="23"/>
        </w:rPr>
        <w:t>s triglycérides n’est pas statistiquement significative figure III.6</w:t>
      </w:r>
    </w:p>
    <w:p w:rsidR="00C91FA9" w:rsidRPr="006A4223" w:rsidRDefault="00C91FA9" w:rsidP="00C91FA9">
      <w:pPr>
        <w:pStyle w:val="Paragraphedeliste"/>
        <w:ind w:left="502"/>
        <w:jc w:val="center"/>
        <w:rPr>
          <w:rFonts w:asciiTheme="majorBidi" w:hAnsiTheme="majorBidi" w:cstheme="majorBidi"/>
          <w:color w:val="7030A0"/>
        </w:rPr>
      </w:pPr>
      <w:r>
        <w:rPr>
          <w:noProof/>
          <w:lang w:eastAsia="fr-FR"/>
        </w:rPr>
        <w:drawing>
          <wp:inline distT="0" distB="0" distL="0" distR="0">
            <wp:extent cx="4572000" cy="2345635"/>
            <wp:effectExtent l="0" t="0" r="0" b="0"/>
            <wp:docPr id="60"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91FA9" w:rsidRDefault="00C91FA9" w:rsidP="00C91FA9">
      <w:pPr>
        <w:pStyle w:val="Paragraphedeliste"/>
        <w:ind w:left="502"/>
      </w:pPr>
    </w:p>
    <w:p w:rsidR="00C91FA9" w:rsidRDefault="00C91FA9" w:rsidP="00C91FA9">
      <w:pPr>
        <w:pStyle w:val="Paragraphedeliste"/>
        <w:ind w:left="502"/>
        <w:rPr>
          <w:rFonts w:asciiTheme="majorBidi" w:hAnsiTheme="majorBidi" w:cstheme="majorBidi"/>
          <w:bCs/>
          <w:sz w:val="23"/>
          <w:szCs w:val="23"/>
        </w:rPr>
        <w:sectPr w:rsidR="00C91FA9" w:rsidSect="00C91FA9">
          <w:headerReference w:type="default" r:id="rId65"/>
          <w:footerReference w:type="default" r:id="rId66"/>
          <w:pgSz w:w="11906" w:h="16838"/>
          <w:pgMar w:top="1134" w:right="1134" w:bottom="1134" w:left="1418" w:header="397" w:footer="680" w:gutter="0"/>
          <w:pgNumType w:start="42"/>
          <w:cols w:space="708"/>
          <w:docGrid w:linePitch="360"/>
        </w:sectPr>
      </w:pPr>
      <w:r w:rsidRPr="006A4223">
        <w:rPr>
          <w:rFonts w:asciiTheme="majorBidi" w:hAnsiTheme="majorBidi" w:cstheme="majorBidi"/>
          <w:b/>
          <w:sz w:val="24"/>
          <w:szCs w:val="24"/>
        </w:rPr>
        <w:t>Figure III.</w:t>
      </w:r>
      <w:r>
        <w:rPr>
          <w:rFonts w:asciiTheme="majorBidi" w:hAnsiTheme="majorBidi" w:cstheme="majorBidi"/>
          <w:b/>
          <w:sz w:val="24"/>
          <w:szCs w:val="24"/>
        </w:rPr>
        <w:t xml:space="preserve"> 6</w:t>
      </w:r>
      <w:r w:rsidRPr="006A4223">
        <w:rPr>
          <w:rFonts w:asciiTheme="majorBidi" w:hAnsiTheme="majorBidi" w:cstheme="majorBidi"/>
          <w:bCs/>
          <w:sz w:val="24"/>
          <w:szCs w:val="24"/>
        </w:rPr>
        <w:t>.</w:t>
      </w:r>
      <w:r w:rsidR="00E54399">
        <w:rPr>
          <w:rFonts w:asciiTheme="majorBidi" w:hAnsiTheme="majorBidi" w:cstheme="majorBidi"/>
          <w:bCs/>
          <w:sz w:val="24"/>
          <w:szCs w:val="24"/>
        </w:rPr>
        <w:t xml:space="preserve"> </w:t>
      </w:r>
      <w:r w:rsidRPr="006A4223">
        <w:rPr>
          <w:rFonts w:asciiTheme="majorBidi" w:hAnsiTheme="majorBidi" w:cstheme="majorBidi"/>
          <w:bCs/>
          <w:sz w:val="23"/>
          <w:szCs w:val="23"/>
        </w:rPr>
        <w:t>Corrélation entre les taux de TG et les stades de fibrose hépatique dans le groupe VHC+.</w:t>
      </w:r>
    </w:p>
    <w:p w:rsidR="00C91FA9" w:rsidRPr="006A4223" w:rsidRDefault="00C91FA9" w:rsidP="00C91FA9">
      <w:pPr>
        <w:pStyle w:val="Paragraphedeliste"/>
        <w:ind w:left="502"/>
        <w:rPr>
          <w:rFonts w:asciiTheme="majorBidi" w:hAnsiTheme="majorBidi" w:cstheme="majorBidi"/>
          <w:bCs/>
          <w:color w:val="7030A0"/>
        </w:rP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C91FA9" w:rsidRDefault="00C91FA9" w:rsidP="00C91FA9">
      <w:pPr>
        <w:jc w:val="center"/>
      </w:pPr>
    </w:p>
    <w:p w:rsidR="00E158C9" w:rsidRDefault="00C91FA9" w:rsidP="00C91FA9">
      <w:pPr>
        <w:spacing w:line="360" w:lineRule="auto"/>
        <w:ind w:firstLine="708"/>
        <w:jc w:val="center"/>
        <w:rPr>
          <w:rFonts w:asciiTheme="majorBidi" w:hAnsiTheme="majorBidi" w:cstheme="majorBidi"/>
          <w:b/>
          <w:bCs/>
          <w:i/>
          <w:iCs/>
          <w:color w:val="7030A0"/>
          <w:sz w:val="72"/>
          <w:szCs w:val="72"/>
        </w:rPr>
      </w:pPr>
      <w:r w:rsidRPr="00C91FA9">
        <w:rPr>
          <w:rFonts w:asciiTheme="majorBidi" w:hAnsiTheme="majorBidi" w:cstheme="majorBidi"/>
          <w:b/>
          <w:bCs/>
          <w:i/>
          <w:iCs/>
          <w:color w:val="7030A0"/>
          <w:sz w:val="72"/>
          <w:szCs w:val="72"/>
        </w:rPr>
        <w:t>Discussion</w:t>
      </w:r>
    </w:p>
    <w:p w:rsidR="00532E6D" w:rsidRDefault="00532E6D">
      <w:pPr>
        <w:spacing w:after="200" w:line="276" w:lineRule="auto"/>
        <w:rPr>
          <w:rFonts w:asciiTheme="majorBidi" w:hAnsiTheme="majorBidi" w:cstheme="majorBidi"/>
          <w:b/>
          <w:bCs/>
          <w:i/>
          <w:iCs/>
          <w:color w:val="7030A0"/>
          <w:sz w:val="72"/>
          <w:szCs w:val="72"/>
        </w:rPr>
        <w:sectPr w:rsidR="00532E6D" w:rsidSect="007F3B1A">
          <w:headerReference w:type="default" r:id="rId67"/>
          <w:footerReference w:type="default" r:id="rId68"/>
          <w:pgSz w:w="11906" w:h="16838"/>
          <w:pgMar w:top="1134" w:right="1134" w:bottom="1134" w:left="1418" w:header="397" w:footer="680" w:gutter="0"/>
          <w:pgNumType w:start="52"/>
          <w:cols w:space="708"/>
          <w:docGrid w:linePitch="360"/>
        </w:sectPr>
      </w:pPr>
    </w:p>
    <w:p w:rsidR="00E71F00" w:rsidRPr="006D2195" w:rsidRDefault="00E71F00" w:rsidP="006D2195">
      <w:pPr>
        <w:spacing w:after="0" w:line="360" w:lineRule="auto"/>
        <w:jc w:val="center"/>
        <w:rPr>
          <w:rFonts w:asciiTheme="majorBidi" w:eastAsiaTheme="minorEastAsia" w:hAnsiTheme="majorBidi" w:cstheme="majorBidi"/>
          <w:b/>
          <w:bCs/>
          <w:i/>
          <w:iCs/>
          <w:kern w:val="24"/>
          <w:sz w:val="32"/>
          <w:szCs w:val="32"/>
          <w:lang w:eastAsia="fr-FR"/>
        </w:rPr>
      </w:pPr>
      <w:r w:rsidRPr="00E71F00">
        <w:rPr>
          <w:rFonts w:asciiTheme="majorBidi" w:eastAsiaTheme="minorEastAsia" w:hAnsiTheme="majorBidi" w:cstheme="majorBidi"/>
          <w:b/>
          <w:bCs/>
          <w:i/>
          <w:iCs/>
          <w:color w:val="7030A0"/>
          <w:kern w:val="24"/>
          <w:sz w:val="40"/>
          <w:szCs w:val="40"/>
          <w:lang w:eastAsia="fr-FR"/>
        </w:rPr>
        <w:lastRenderedPageBreak/>
        <w:t>D</w:t>
      </w:r>
      <w:r w:rsidR="007F3B1A" w:rsidRPr="00E71F00">
        <w:rPr>
          <w:rFonts w:asciiTheme="majorBidi" w:eastAsiaTheme="minorEastAsia" w:hAnsiTheme="majorBidi" w:cstheme="majorBidi"/>
          <w:b/>
          <w:bCs/>
          <w:i/>
          <w:iCs/>
          <w:color w:val="7030A0"/>
          <w:kern w:val="24"/>
          <w:sz w:val="40"/>
          <w:szCs w:val="40"/>
          <w:lang w:eastAsia="fr-FR"/>
        </w:rPr>
        <w:t>iscussion</w:t>
      </w:r>
    </w:p>
    <w:p w:rsidR="00E71F00" w:rsidRPr="004E2073" w:rsidRDefault="00E71F00" w:rsidP="004E2073">
      <w:pPr>
        <w:spacing w:after="0" w:line="360" w:lineRule="auto"/>
        <w:ind w:firstLine="708"/>
        <w:jc w:val="both"/>
        <w:rPr>
          <w:rFonts w:asciiTheme="majorBidi" w:eastAsiaTheme="minorEastAsia" w:hAnsiTheme="majorBidi" w:cstheme="majorBidi"/>
          <w:kern w:val="24"/>
          <w:sz w:val="24"/>
          <w:szCs w:val="24"/>
          <w:lang w:eastAsia="fr-FR"/>
        </w:rPr>
      </w:pPr>
      <w:r w:rsidRPr="000166D7">
        <w:rPr>
          <w:rFonts w:asciiTheme="majorBidi" w:eastAsiaTheme="minorEastAsia" w:hAnsiTheme="majorBidi" w:cstheme="majorBidi"/>
          <w:kern w:val="24"/>
          <w:sz w:val="24"/>
          <w:szCs w:val="24"/>
          <w:lang w:eastAsia="fr-FR"/>
        </w:rPr>
        <w:t xml:space="preserve">L’infection par le </w:t>
      </w:r>
      <w:r>
        <w:rPr>
          <w:rFonts w:asciiTheme="majorBidi" w:eastAsiaTheme="minorEastAsia" w:hAnsiTheme="majorBidi" w:cstheme="majorBidi"/>
          <w:kern w:val="24"/>
          <w:sz w:val="24"/>
          <w:szCs w:val="24"/>
          <w:lang w:eastAsia="fr-FR"/>
        </w:rPr>
        <w:t>v</w:t>
      </w:r>
      <w:r w:rsidRPr="000166D7">
        <w:rPr>
          <w:rFonts w:asciiTheme="majorBidi" w:eastAsiaTheme="minorEastAsia" w:hAnsiTheme="majorBidi" w:cstheme="majorBidi"/>
          <w:kern w:val="24"/>
          <w:sz w:val="24"/>
          <w:szCs w:val="24"/>
          <w:lang w:eastAsia="fr-FR"/>
        </w:rPr>
        <w:t>irus de l’</w:t>
      </w:r>
      <w:r>
        <w:rPr>
          <w:rFonts w:asciiTheme="majorBidi" w:eastAsiaTheme="minorEastAsia" w:hAnsiTheme="majorBidi" w:cstheme="majorBidi"/>
          <w:kern w:val="24"/>
          <w:sz w:val="24"/>
          <w:szCs w:val="24"/>
          <w:lang w:eastAsia="fr-FR"/>
        </w:rPr>
        <w:t>hépatite C induit à une dérégulation de</w:t>
      </w:r>
      <w:r w:rsidRPr="000166D7">
        <w:rPr>
          <w:rFonts w:asciiTheme="majorBidi" w:eastAsiaTheme="minorEastAsia" w:hAnsiTheme="majorBidi" w:cstheme="majorBidi"/>
          <w:kern w:val="24"/>
          <w:sz w:val="24"/>
          <w:szCs w:val="24"/>
          <w:lang w:eastAsia="fr-FR"/>
        </w:rPr>
        <w:t xml:space="preserve"> processus métabolique lipidique</w:t>
      </w:r>
      <w:r w:rsidR="006D2195">
        <w:rPr>
          <w:rFonts w:asciiTheme="majorBidi" w:eastAsiaTheme="minorEastAsia" w:hAnsiTheme="majorBidi" w:cstheme="majorBidi"/>
          <w:kern w:val="24"/>
          <w:sz w:val="24"/>
          <w:szCs w:val="24"/>
          <w:lang w:eastAsia="fr-FR"/>
        </w:rPr>
        <w:t xml:space="preserve"> </w:t>
      </w:r>
      <w:r w:rsidRPr="000166D7">
        <w:rPr>
          <w:rFonts w:asciiTheme="majorBidi" w:eastAsiaTheme="minorEastAsia" w:hAnsiTheme="majorBidi" w:cstheme="majorBidi"/>
          <w:kern w:val="24"/>
          <w:sz w:val="24"/>
          <w:szCs w:val="24"/>
          <w:lang w:eastAsia="fr-FR"/>
        </w:rPr>
        <w:t>tant au stade de l’infection que dans ses étapes</w:t>
      </w:r>
      <w:r w:rsidR="006D2195">
        <w:rPr>
          <w:rFonts w:asciiTheme="majorBidi" w:eastAsiaTheme="minorEastAsia" w:hAnsiTheme="majorBidi" w:cstheme="majorBidi"/>
          <w:kern w:val="24"/>
          <w:sz w:val="24"/>
          <w:szCs w:val="24"/>
          <w:lang w:eastAsia="fr-FR"/>
        </w:rPr>
        <w:t xml:space="preserve"> </w:t>
      </w:r>
      <w:r w:rsidRPr="000166D7">
        <w:rPr>
          <w:rFonts w:asciiTheme="majorBidi" w:eastAsiaTheme="minorEastAsia" w:hAnsiTheme="majorBidi" w:cstheme="majorBidi"/>
          <w:kern w:val="24"/>
          <w:sz w:val="24"/>
          <w:szCs w:val="24"/>
          <w:lang w:eastAsia="fr-FR"/>
        </w:rPr>
        <w:t>intracellulaires</w:t>
      </w:r>
      <w:r w:rsidR="006D2195">
        <w:rPr>
          <w:rFonts w:asciiTheme="majorBidi" w:eastAsiaTheme="minorEastAsia" w:hAnsiTheme="majorBidi" w:cstheme="majorBidi"/>
          <w:kern w:val="24"/>
          <w:sz w:val="24"/>
          <w:szCs w:val="24"/>
          <w:lang w:eastAsia="fr-FR"/>
        </w:rPr>
        <w:t xml:space="preserve"> </w:t>
      </w:r>
      <w:r w:rsidR="004E2073">
        <w:rPr>
          <w:rFonts w:asciiTheme="majorBidi" w:eastAsiaTheme="minorEastAsia" w:hAnsiTheme="majorBidi" w:cstheme="majorBidi"/>
          <w:b/>
          <w:bCs/>
          <w:kern w:val="24"/>
          <w:sz w:val="24"/>
          <w:szCs w:val="24"/>
          <w:lang w:eastAsia="fr-FR"/>
        </w:rPr>
        <w:t xml:space="preserve">(Piodi, </w:t>
      </w:r>
      <w:r w:rsidRPr="00F12F9B">
        <w:rPr>
          <w:rFonts w:asciiTheme="majorBidi" w:eastAsiaTheme="minorEastAsia" w:hAnsiTheme="majorBidi" w:cstheme="majorBidi"/>
          <w:b/>
          <w:bCs/>
          <w:kern w:val="24"/>
          <w:sz w:val="24"/>
          <w:szCs w:val="24"/>
          <w:lang w:eastAsia="fr-FR"/>
        </w:rPr>
        <w:t>2010)</w:t>
      </w:r>
      <w:r w:rsidRPr="00F12F9B">
        <w:rPr>
          <w:rFonts w:asciiTheme="majorBidi" w:eastAsiaTheme="minorEastAsia" w:hAnsiTheme="majorBidi" w:cstheme="majorBidi"/>
          <w:kern w:val="24"/>
          <w:sz w:val="24"/>
          <w:szCs w:val="24"/>
          <w:lang w:eastAsia="fr-FR"/>
        </w:rPr>
        <w:t>.</w:t>
      </w:r>
    </w:p>
    <w:p w:rsidR="00E71F00" w:rsidRDefault="00E71F00" w:rsidP="00E71F00">
      <w:pPr>
        <w:spacing w:after="0" w:line="360" w:lineRule="auto"/>
        <w:ind w:firstLine="708"/>
        <w:jc w:val="both"/>
        <w:rPr>
          <w:rFonts w:asciiTheme="majorBidi" w:hAnsiTheme="majorBidi" w:cstheme="majorBidi"/>
          <w:sz w:val="24"/>
          <w:szCs w:val="24"/>
        </w:rPr>
      </w:pPr>
      <w:r w:rsidRPr="000166D7">
        <w:rPr>
          <w:rFonts w:asciiTheme="majorBidi" w:hAnsiTheme="majorBidi" w:cstheme="majorBidi"/>
          <w:sz w:val="24"/>
          <w:szCs w:val="24"/>
        </w:rPr>
        <w:t>L’objectif de notre travail était d</w:t>
      </w:r>
      <w:r>
        <w:rPr>
          <w:rFonts w:asciiTheme="majorBidi" w:hAnsiTheme="majorBidi" w:cstheme="majorBidi"/>
          <w:sz w:val="24"/>
          <w:szCs w:val="24"/>
        </w:rPr>
        <w:t>e comparer le profil hépatique et lipidique entre un groupe de patients atteints de l’hépatite virale C (100 VHC+) et un autre groupe sain (100 VHC-)</w:t>
      </w:r>
    </w:p>
    <w:p w:rsidR="00E71F00" w:rsidRPr="002D4152" w:rsidRDefault="00E71F00" w:rsidP="00E71F00">
      <w:pPr>
        <w:spacing w:line="360" w:lineRule="auto"/>
        <w:ind w:firstLine="708"/>
        <w:jc w:val="both"/>
        <w:rPr>
          <w:rFonts w:asciiTheme="majorBidi" w:hAnsiTheme="majorBidi" w:cstheme="majorBidi"/>
          <w:b/>
          <w:bCs/>
          <w:sz w:val="24"/>
          <w:szCs w:val="24"/>
        </w:rPr>
      </w:pPr>
      <w:r>
        <w:rPr>
          <w:rFonts w:ascii="Times New Roman" w:hAnsi="Times New Roman" w:cs="Times New Roman"/>
          <w:sz w:val="24"/>
          <w:szCs w:val="24"/>
        </w:rPr>
        <w:t xml:space="preserve">Dans notre échantillon de 100 </w:t>
      </w:r>
      <w:r w:rsidRPr="00451E38">
        <w:rPr>
          <w:rFonts w:ascii="Times New Roman" w:hAnsi="Times New Roman" w:cs="Times New Roman"/>
          <w:sz w:val="24"/>
          <w:szCs w:val="24"/>
        </w:rPr>
        <w:t>malades, la tranche d’âge la plus concernée  par la maladie est celle située entre 4</w:t>
      </w:r>
      <w:r>
        <w:rPr>
          <w:rFonts w:ascii="Times New Roman" w:hAnsi="Times New Roman" w:cs="Times New Roman"/>
          <w:sz w:val="24"/>
          <w:szCs w:val="24"/>
        </w:rPr>
        <w:t>0</w:t>
      </w:r>
      <w:r w:rsidRPr="00451E38">
        <w:rPr>
          <w:rFonts w:ascii="Times New Roman" w:hAnsi="Times New Roman" w:cs="Times New Roman"/>
          <w:sz w:val="24"/>
          <w:szCs w:val="24"/>
        </w:rPr>
        <w:t xml:space="preserve"> et </w:t>
      </w:r>
      <w:r>
        <w:rPr>
          <w:rFonts w:ascii="Times New Roman" w:hAnsi="Times New Roman" w:cs="Times New Roman"/>
          <w:sz w:val="24"/>
          <w:szCs w:val="24"/>
        </w:rPr>
        <w:t>59</w:t>
      </w:r>
      <w:r w:rsidRPr="00451E38">
        <w:rPr>
          <w:rFonts w:ascii="Times New Roman" w:hAnsi="Times New Roman" w:cs="Times New Roman"/>
          <w:sz w:val="24"/>
          <w:szCs w:val="24"/>
        </w:rPr>
        <w:t xml:space="preserve"> ans.</w:t>
      </w:r>
      <w:r>
        <w:rPr>
          <w:rFonts w:ascii="Times New Roman" w:hAnsi="Times New Roman" w:cs="Times New Roman"/>
          <w:sz w:val="24"/>
          <w:szCs w:val="24"/>
        </w:rPr>
        <w:t xml:space="preserve"> Ainsi que dans une étude de prévalence de l’infection par le VHC au Maroc, le moyen d’âge des cas positif était de 50.4 ans </w:t>
      </w:r>
      <w:r w:rsidRPr="000A23D0">
        <w:rPr>
          <w:rFonts w:ascii="Times New Roman" w:hAnsi="Times New Roman" w:cs="Times New Roman"/>
          <w:b/>
          <w:bCs/>
          <w:sz w:val="24"/>
          <w:szCs w:val="24"/>
        </w:rPr>
        <w:t>(Benhouda</w:t>
      </w:r>
      <w:r w:rsidR="006D2195">
        <w:rPr>
          <w:rFonts w:ascii="Times New Roman" w:hAnsi="Times New Roman" w:cs="Times New Roman"/>
          <w:b/>
          <w:bCs/>
          <w:sz w:val="24"/>
          <w:szCs w:val="24"/>
        </w:rPr>
        <w:t xml:space="preserve"> </w:t>
      </w:r>
      <w:r w:rsidRPr="00F616D3">
        <w:rPr>
          <w:rFonts w:ascii="Times New Roman" w:hAnsi="Times New Roman" w:cs="Times New Roman"/>
          <w:b/>
          <w:bCs/>
          <w:i/>
          <w:iCs/>
          <w:sz w:val="24"/>
          <w:szCs w:val="24"/>
        </w:rPr>
        <w:t>et al</w:t>
      </w:r>
      <w:r>
        <w:rPr>
          <w:rFonts w:ascii="Times New Roman" w:hAnsi="Times New Roman" w:cs="Times New Roman"/>
          <w:b/>
          <w:bCs/>
          <w:sz w:val="24"/>
          <w:szCs w:val="24"/>
        </w:rPr>
        <w:t>.,</w:t>
      </w:r>
      <w:r w:rsidR="006D2195">
        <w:rPr>
          <w:rFonts w:ascii="Times New Roman" w:hAnsi="Times New Roman" w:cs="Times New Roman"/>
          <w:b/>
          <w:bCs/>
          <w:sz w:val="24"/>
          <w:szCs w:val="24"/>
        </w:rPr>
        <w:t xml:space="preserve"> </w:t>
      </w:r>
      <w:r w:rsidRPr="000A23D0">
        <w:rPr>
          <w:rFonts w:ascii="Times New Roman" w:hAnsi="Times New Roman" w:cs="Times New Roman"/>
          <w:b/>
          <w:bCs/>
          <w:sz w:val="24"/>
          <w:szCs w:val="24"/>
        </w:rPr>
        <w:t>2009)</w:t>
      </w:r>
      <w:r>
        <w:rPr>
          <w:rFonts w:ascii="Times New Roman" w:hAnsi="Times New Roman" w:cs="Times New Roman"/>
          <w:sz w:val="24"/>
          <w:szCs w:val="24"/>
        </w:rPr>
        <w:t xml:space="preserve">. </w:t>
      </w:r>
      <w:r w:rsidRPr="00FE17E9">
        <w:rPr>
          <w:rFonts w:asciiTheme="majorBidi" w:hAnsiTheme="majorBidi" w:cstheme="majorBidi"/>
          <w:sz w:val="24"/>
          <w:szCs w:val="24"/>
        </w:rPr>
        <w:t>C</w:t>
      </w:r>
      <w:r>
        <w:rPr>
          <w:rFonts w:asciiTheme="majorBidi" w:hAnsiTheme="majorBidi" w:cstheme="majorBidi"/>
          <w:sz w:val="24"/>
          <w:szCs w:val="24"/>
        </w:rPr>
        <w:t>e</w:t>
      </w:r>
      <w:r w:rsidRPr="00FE17E9">
        <w:rPr>
          <w:rFonts w:asciiTheme="majorBidi" w:hAnsiTheme="majorBidi" w:cstheme="majorBidi"/>
          <w:sz w:val="24"/>
          <w:szCs w:val="24"/>
        </w:rPr>
        <w:t>ci pourrait être expliqué par le fait que</w:t>
      </w:r>
      <w:r>
        <w:rPr>
          <w:rFonts w:asciiTheme="majorBidi" w:hAnsiTheme="majorBidi" w:cstheme="majorBidi"/>
          <w:sz w:val="24"/>
          <w:szCs w:val="24"/>
        </w:rPr>
        <w:t xml:space="preserve"> le </w:t>
      </w:r>
      <w:r w:rsidRPr="00FE17E9">
        <w:rPr>
          <w:rFonts w:asciiTheme="majorBidi" w:hAnsiTheme="majorBidi" w:cstheme="majorBidi"/>
          <w:sz w:val="24"/>
          <w:szCs w:val="24"/>
        </w:rPr>
        <w:t xml:space="preserve">système immunitaire vieillie au fil du temps, alors l’âge est un facteur très important non négligeable à prendre en compte dans la susceptibilité accrue aux infections surtout virales </w:t>
      </w:r>
      <w:r w:rsidRPr="002D4152">
        <w:rPr>
          <w:rFonts w:asciiTheme="majorBidi" w:hAnsiTheme="majorBidi" w:cstheme="majorBidi"/>
          <w:b/>
          <w:bCs/>
          <w:sz w:val="24"/>
          <w:szCs w:val="24"/>
        </w:rPr>
        <w:t>(Le Gouvello, 2012).</w:t>
      </w:r>
    </w:p>
    <w:p w:rsidR="00E71F00" w:rsidRPr="00451E38" w:rsidRDefault="00E71F00" w:rsidP="00E71F00">
      <w:pPr>
        <w:spacing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N</w:t>
      </w:r>
      <w:r w:rsidRPr="00451E38">
        <w:rPr>
          <w:rFonts w:ascii="Times New Roman" w:hAnsi="Times New Roman" w:cs="Times New Roman"/>
          <w:bCs/>
          <w:sz w:val="24"/>
          <w:szCs w:val="24"/>
        </w:rPr>
        <w:t xml:space="preserve">ous avons observé que </w:t>
      </w:r>
      <w:r w:rsidRPr="00451E38">
        <w:rPr>
          <w:rFonts w:ascii="Times New Roman" w:hAnsi="Times New Roman" w:cs="Times New Roman"/>
          <w:sz w:val="24"/>
          <w:szCs w:val="24"/>
        </w:rPr>
        <w:t xml:space="preserve">les femmes représentaient un nombre élevé par rapport </w:t>
      </w:r>
      <w:r>
        <w:rPr>
          <w:rFonts w:ascii="Times New Roman" w:hAnsi="Times New Roman" w:cs="Times New Roman"/>
          <w:sz w:val="24"/>
          <w:szCs w:val="24"/>
        </w:rPr>
        <w:t xml:space="preserve">aux hommes </w:t>
      </w:r>
      <w:r w:rsidRPr="00451E38">
        <w:rPr>
          <w:rFonts w:ascii="Times New Roman" w:hAnsi="Times New Roman" w:cs="Times New Roman"/>
          <w:sz w:val="24"/>
          <w:szCs w:val="24"/>
        </w:rPr>
        <w:t xml:space="preserve">dans la population touchée par le VHC dans la région de Tébessa. Le sexe ratio a été de </w:t>
      </w:r>
      <w:r w:rsidRPr="000A23D0">
        <w:rPr>
          <w:rFonts w:ascii="Times New Roman" w:hAnsi="Times New Roman" w:cs="Times New Roman"/>
          <w:sz w:val="24"/>
          <w:szCs w:val="24"/>
        </w:rPr>
        <w:t>1.70</w:t>
      </w:r>
      <w:r w:rsidRPr="00451E38">
        <w:rPr>
          <w:rFonts w:ascii="Times New Roman" w:hAnsi="Times New Roman" w:cs="Times New Roman"/>
          <w:sz w:val="24"/>
          <w:szCs w:val="24"/>
        </w:rPr>
        <w:t xml:space="preserve"> en faveur du sexe féminin.Une étude similaire réalisée en Tunisie par </w:t>
      </w:r>
      <w:r w:rsidRPr="00D35E0D">
        <w:rPr>
          <w:rFonts w:ascii="Times New Roman" w:eastAsia="Times New Roman" w:hAnsi="Times New Roman" w:cs="Times New Roman"/>
          <w:b/>
          <w:bCs/>
          <w:sz w:val="24"/>
          <w:szCs w:val="24"/>
          <w:lang w:eastAsia="fr-FR"/>
        </w:rPr>
        <w:t>Kahloun</w:t>
      </w:r>
      <w:r w:rsidR="006D2195">
        <w:rPr>
          <w:rFonts w:ascii="Times New Roman" w:eastAsia="Times New Roman" w:hAnsi="Times New Roman" w:cs="Times New Roman"/>
          <w:b/>
          <w:bCs/>
          <w:sz w:val="24"/>
          <w:szCs w:val="24"/>
          <w:lang w:eastAsia="fr-FR"/>
        </w:rPr>
        <w:t xml:space="preserve"> </w:t>
      </w:r>
      <w:r w:rsidRPr="00D35E0D">
        <w:rPr>
          <w:rFonts w:ascii="Times New Roman" w:hAnsi="Times New Roman" w:cs="Times New Roman"/>
          <w:b/>
          <w:bCs/>
          <w:i/>
          <w:iCs/>
          <w:sz w:val="24"/>
          <w:szCs w:val="24"/>
        </w:rPr>
        <w:t>et al</w:t>
      </w:r>
      <w:r>
        <w:rPr>
          <w:rFonts w:ascii="Times New Roman" w:hAnsi="Times New Roman" w:cs="Times New Roman"/>
          <w:b/>
          <w:bCs/>
          <w:i/>
          <w:iCs/>
          <w:sz w:val="24"/>
          <w:szCs w:val="24"/>
        </w:rPr>
        <w:t>.,</w:t>
      </w:r>
      <w:r w:rsidRPr="00D35E0D">
        <w:rPr>
          <w:rFonts w:ascii="Times New Roman" w:hAnsi="Times New Roman" w:cs="Times New Roman"/>
          <w:b/>
          <w:bCs/>
          <w:sz w:val="24"/>
          <w:szCs w:val="24"/>
        </w:rPr>
        <w:t xml:space="preserve"> 2011</w:t>
      </w:r>
      <w:r w:rsidRPr="00451E38">
        <w:rPr>
          <w:rFonts w:ascii="Times New Roman" w:hAnsi="Times New Roman" w:cs="Times New Roman"/>
          <w:sz w:val="24"/>
          <w:szCs w:val="24"/>
        </w:rPr>
        <w:t xml:space="preserve"> a montré le même résultat avec un sexe ratio en faveur du sexe féminin.</w:t>
      </w:r>
      <w:r>
        <w:rPr>
          <w:rFonts w:ascii="Times New Roman" w:hAnsi="Times New Roman" w:cs="Times New Roman"/>
          <w:sz w:val="24"/>
          <w:szCs w:val="24"/>
        </w:rPr>
        <w:t xml:space="preserve"> Dans une autre étude réalisée en inde, les hommes étaient plus concernés par la maladie avec un sexe ratio de 1.4 </w:t>
      </w:r>
      <w:r w:rsidRPr="00D35E0D">
        <w:rPr>
          <w:rFonts w:ascii="Times New Roman" w:hAnsi="Times New Roman" w:cs="Times New Roman"/>
          <w:b/>
          <w:bCs/>
          <w:sz w:val="24"/>
          <w:szCs w:val="24"/>
        </w:rPr>
        <w:t xml:space="preserve">(Sharma </w:t>
      </w:r>
      <w:r w:rsidRPr="00F616D3">
        <w:rPr>
          <w:rFonts w:ascii="Times New Roman" w:hAnsi="Times New Roman" w:cs="Times New Roman"/>
          <w:b/>
          <w:bCs/>
          <w:i/>
          <w:iCs/>
          <w:sz w:val="24"/>
          <w:szCs w:val="24"/>
        </w:rPr>
        <w:t>et al</w:t>
      </w:r>
      <w:r w:rsidRPr="00D35E0D">
        <w:rPr>
          <w:rFonts w:ascii="Times New Roman" w:hAnsi="Times New Roman" w:cs="Times New Roman"/>
          <w:b/>
          <w:bCs/>
          <w:sz w:val="24"/>
          <w:szCs w:val="24"/>
        </w:rPr>
        <w:t>., 2014)</w:t>
      </w:r>
      <w:r w:rsidR="00685F22">
        <w:rPr>
          <w:rFonts w:ascii="Times New Roman" w:hAnsi="Times New Roman" w:cs="Times New Roman"/>
          <w:b/>
          <w:bCs/>
          <w:sz w:val="24"/>
          <w:szCs w:val="24"/>
        </w:rPr>
        <w:t xml:space="preserve">. </w:t>
      </w:r>
    </w:p>
    <w:p w:rsidR="00E71F00" w:rsidRDefault="00E71F00" w:rsidP="00E71F00">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L’analyse statistique de la comparaison des paramètres anthropométriques , hépatiques et lipidiques entre les 100 patients atteints du VHC et des 100 témoins sains nous a permis de constater des différences significatives entre les deux groupes.</w:t>
      </w:r>
    </w:p>
    <w:p w:rsidR="00E71F00" w:rsidRPr="0080779B" w:rsidRDefault="00E71F00" w:rsidP="00E71F00">
      <w:pPr>
        <w:spacing w:after="0" w:line="360" w:lineRule="auto"/>
        <w:ind w:firstLine="708"/>
        <w:jc w:val="both"/>
        <w:rPr>
          <w:rFonts w:asciiTheme="majorBidi" w:hAnsiTheme="majorBidi" w:cstheme="majorBidi"/>
          <w:sz w:val="24"/>
          <w:szCs w:val="24"/>
        </w:rPr>
      </w:pPr>
    </w:p>
    <w:p w:rsidR="00E71F00" w:rsidRDefault="00E71F00" w:rsidP="00E71F00">
      <w:pPr>
        <w:spacing w:line="360" w:lineRule="auto"/>
        <w:jc w:val="both"/>
        <w:rPr>
          <w:rFonts w:ascii="Times New Roman" w:hAnsi="Times New Roman" w:cs="Times New Roman"/>
          <w:b/>
          <w:bCs/>
          <w:i/>
          <w:iCs/>
          <w:color w:val="7030A0"/>
          <w:sz w:val="24"/>
          <w:szCs w:val="24"/>
        </w:rPr>
      </w:pPr>
      <w:r w:rsidRPr="006F065C">
        <w:rPr>
          <w:rFonts w:ascii="Times New Roman" w:hAnsi="Times New Roman" w:cs="Times New Roman"/>
          <w:b/>
          <w:bCs/>
          <w:i/>
          <w:iCs/>
          <w:color w:val="7030A0"/>
          <w:sz w:val="24"/>
          <w:szCs w:val="24"/>
        </w:rPr>
        <w:t>Indice de masse corporelle</w:t>
      </w:r>
    </w:p>
    <w:p w:rsidR="00E71F00" w:rsidRDefault="00E71F00" w:rsidP="004E2073">
      <w:pPr>
        <w:spacing w:line="360" w:lineRule="auto"/>
        <w:ind w:firstLine="708"/>
        <w:jc w:val="both"/>
        <w:rPr>
          <w:rFonts w:asciiTheme="majorBidi" w:hAnsiTheme="majorBidi" w:cstheme="majorBidi"/>
          <w:color w:val="000000" w:themeColor="text1"/>
          <w:sz w:val="24"/>
          <w:szCs w:val="24"/>
          <w:shd w:val="clear" w:color="auto" w:fill="FFFFFF"/>
        </w:rPr>
      </w:pPr>
      <w:r>
        <w:rPr>
          <w:rFonts w:asciiTheme="majorBidi" w:hAnsiTheme="majorBidi" w:cstheme="majorBidi"/>
          <w:sz w:val="24"/>
          <w:szCs w:val="24"/>
        </w:rPr>
        <w:t xml:space="preserve">Selon </w:t>
      </w:r>
      <w:r w:rsidRPr="00C44B68">
        <w:rPr>
          <w:rFonts w:asciiTheme="majorBidi" w:hAnsiTheme="majorBidi" w:cstheme="majorBidi"/>
          <w:b/>
          <w:bCs/>
          <w:sz w:val="24"/>
          <w:szCs w:val="24"/>
        </w:rPr>
        <w:t>Asselah</w:t>
      </w:r>
      <w:r w:rsidRPr="00F616D3">
        <w:rPr>
          <w:rFonts w:asciiTheme="majorBidi" w:hAnsiTheme="majorBidi" w:cstheme="majorBidi"/>
          <w:b/>
          <w:bCs/>
          <w:i/>
          <w:iCs/>
          <w:sz w:val="24"/>
          <w:szCs w:val="24"/>
        </w:rPr>
        <w:t>et al</w:t>
      </w:r>
      <w:r w:rsidRPr="00C44B68">
        <w:rPr>
          <w:rFonts w:asciiTheme="majorBidi" w:hAnsiTheme="majorBidi" w:cstheme="majorBidi"/>
          <w:b/>
          <w:bCs/>
          <w:sz w:val="24"/>
          <w:szCs w:val="24"/>
        </w:rPr>
        <w:t>., 2003</w:t>
      </w:r>
      <w:r w:rsidRPr="002F0BF6">
        <w:rPr>
          <w:rFonts w:asciiTheme="majorBidi" w:hAnsiTheme="majorBidi" w:cstheme="majorBidi"/>
          <w:sz w:val="24"/>
          <w:szCs w:val="24"/>
        </w:rPr>
        <w:t xml:space="preserve">dans une étude </w:t>
      </w:r>
      <w:r w:rsidRPr="002F0BF6">
        <w:rPr>
          <w:rFonts w:asciiTheme="majorBidi" w:hAnsiTheme="majorBidi" w:cstheme="majorBidi"/>
          <w:sz w:val="24"/>
          <w:szCs w:val="24"/>
          <w:shd w:val="clear" w:color="auto" w:fill="FFFFFF"/>
        </w:rPr>
        <w:t>a</w:t>
      </w:r>
      <w:r w:rsidRPr="00C44B68">
        <w:rPr>
          <w:rFonts w:asciiTheme="majorBidi" w:hAnsiTheme="majorBidi" w:cstheme="majorBidi"/>
          <w:sz w:val="24"/>
          <w:szCs w:val="24"/>
          <w:shd w:val="clear" w:color="auto" w:fill="FFFFFF"/>
        </w:rPr>
        <w:t>méricaine,</w:t>
      </w:r>
      <w:r>
        <w:rPr>
          <w:rFonts w:asciiTheme="majorBidi" w:hAnsiTheme="majorBidi" w:cstheme="majorBidi"/>
          <w:sz w:val="24"/>
          <w:szCs w:val="24"/>
          <w:shd w:val="clear" w:color="auto" w:fill="FFFFFF"/>
        </w:rPr>
        <w:t xml:space="preserve"> (69</w:t>
      </w:r>
      <w:r w:rsidRPr="00C44B68">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w:t>
      </w:r>
      <w:r w:rsidRPr="00C44B68">
        <w:rPr>
          <w:rFonts w:asciiTheme="majorBidi" w:hAnsiTheme="majorBidi" w:cstheme="majorBidi"/>
          <w:sz w:val="24"/>
          <w:szCs w:val="24"/>
          <w:shd w:val="clear" w:color="auto" w:fill="FFFFFF"/>
        </w:rPr>
        <w:t xml:space="preserve"> des ma</w:t>
      </w:r>
      <w:r>
        <w:rPr>
          <w:rFonts w:asciiTheme="majorBidi" w:hAnsiTheme="majorBidi" w:cstheme="majorBidi"/>
          <w:sz w:val="24"/>
          <w:szCs w:val="24"/>
          <w:shd w:val="clear" w:color="auto" w:fill="FFFFFF"/>
        </w:rPr>
        <w:t>lades (hépatite C) avaient un surpoids et (31</w:t>
      </w:r>
      <w:r w:rsidRPr="00C44B68">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une obésité. Une autre étude faite par </w:t>
      </w:r>
      <w:r w:rsidRPr="00D16FDB">
        <w:rPr>
          <w:rFonts w:asciiTheme="majorBidi" w:hAnsiTheme="majorBidi" w:cstheme="majorBidi"/>
          <w:b/>
          <w:bCs/>
          <w:sz w:val="24"/>
          <w:szCs w:val="24"/>
        </w:rPr>
        <w:t>Hourigan</w:t>
      </w:r>
      <w:r w:rsidR="006D2195">
        <w:rPr>
          <w:rFonts w:asciiTheme="majorBidi" w:hAnsiTheme="majorBidi" w:cstheme="majorBidi"/>
          <w:b/>
          <w:bCs/>
          <w:sz w:val="24"/>
          <w:szCs w:val="24"/>
        </w:rPr>
        <w:t xml:space="preserve"> </w:t>
      </w:r>
      <w:r w:rsidRPr="00D16FDB">
        <w:rPr>
          <w:rFonts w:asciiTheme="majorBidi" w:hAnsiTheme="majorBidi" w:cstheme="majorBidi"/>
          <w:b/>
          <w:bCs/>
          <w:i/>
          <w:iCs/>
          <w:sz w:val="24"/>
          <w:szCs w:val="24"/>
        </w:rPr>
        <w:t>et al</w:t>
      </w:r>
      <w:r>
        <w:rPr>
          <w:rFonts w:asciiTheme="majorBidi" w:hAnsiTheme="majorBidi" w:cstheme="majorBidi"/>
          <w:b/>
          <w:bCs/>
          <w:sz w:val="24"/>
          <w:szCs w:val="24"/>
        </w:rPr>
        <w:t>.,</w:t>
      </w:r>
      <w:r w:rsidRPr="00D16FDB">
        <w:rPr>
          <w:rFonts w:asciiTheme="majorBidi" w:hAnsiTheme="majorBidi" w:cstheme="majorBidi"/>
          <w:b/>
          <w:bCs/>
          <w:sz w:val="24"/>
          <w:szCs w:val="24"/>
        </w:rPr>
        <w:t xml:space="preserve"> 1999</w:t>
      </w:r>
      <w:r w:rsidR="006D2195">
        <w:rPr>
          <w:rFonts w:asciiTheme="majorBidi" w:hAnsiTheme="majorBidi" w:cstheme="majorBidi"/>
          <w:b/>
          <w:bCs/>
          <w:sz w:val="24"/>
          <w:szCs w:val="24"/>
        </w:rPr>
        <w:t xml:space="preserve"> </w:t>
      </w:r>
      <w:r w:rsidRPr="002F0BF6">
        <w:rPr>
          <w:rFonts w:asciiTheme="majorBidi" w:hAnsiTheme="majorBidi" w:cstheme="majorBidi"/>
          <w:sz w:val="24"/>
          <w:szCs w:val="24"/>
        </w:rPr>
        <w:t>a montré</w:t>
      </w:r>
      <w:r w:rsidR="006D2195">
        <w:rPr>
          <w:rFonts w:asciiTheme="majorBidi" w:hAnsiTheme="majorBidi" w:cstheme="majorBidi"/>
          <w:sz w:val="24"/>
          <w:szCs w:val="24"/>
        </w:rPr>
        <w:t xml:space="preserve"> </w:t>
      </w:r>
      <w:r w:rsidRPr="00300F44">
        <w:rPr>
          <w:rFonts w:asciiTheme="majorBidi" w:hAnsiTheme="majorBidi" w:cstheme="majorBidi"/>
          <w:color w:val="000000" w:themeColor="text1"/>
          <w:sz w:val="24"/>
          <w:szCs w:val="24"/>
          <w:shd w:val="clear" w:color="auto" w:fill="FFFFFF"/>
        </w:rPr>
        <w:t xml:space="preserve">que </w:t>
      </w:r>
      <w:r>
        <w:rPr>
          <w:rFonts w:asciiTheme="majorBidi" w:hAnsiTheme="majorBidi" w:cstheme="majorBidi"/>
          <w:color w:val="000000" w:themeColor="text1"/>
          <w:sz w:val="24"/>
          <w:szCs w:val="24"/>
          <w:shd w:val="clear" w:color="auto" w:fill="FFFFFF"/>
        </w:rPr>
        <w:t xml:space="preserve">le surpoids et l’obésité (IMC≥ 25 kg/m2) </w:t>
      </w:r>
      <w:r w:rsidRPr="00300F44">
        <w:rPr>
          <w:rFonts w:asciiTheme="majorBidi" w:hAnsiTheme="majorBidi" w:cstheme="majorBidi"/>
          <w:color w:val="000000" w:themeColor="text1"/>
          <w:sz w:val="24"/>
          <w:szCs w:val="24"/>
          <w:shd w:val="clear" w:color="auto" w:fill="FFFFFF"/>
        </w:rPr>
        <w:t>étai</w:t>
      </w:r>
      <w:r>
        <w:rPr>
          <w:rFonts w:asciiTheme="majorBidi" w:hAnsiTheme="majorBidi" w:cstheme="majorBidi"/>
          <w:color w:val="000000" w:themeColor="text1"/>
          <w:sz w:val="24"/>
          <w:szCs w:val="24"/>
          <w:shd w:val="clear" w:color="auto" w:fill="FFFFFF"/>
        </w:rPr>
        <w:t xml:space="preserve">ent </w:t>
      </w:r>
      <w:r w:rsidRPr="00300F44">
        <w:rPr>
          <w:rFonts w:asciiTheme="majorBidi" w:hAnsiTheme="majorBidi" w:cstheme="majorBidi"/>
          <w:color w:val="000000" w:themeColor="text1"/>
          <w:sz w:val="24"/>
          <w:szCs w:val="24"/>
          <w:shd w:val="clear" w:color="auto" w:fill="FFFFFF"/>
        </w:rPr>
        <w:t>plus fréquent</w:t>
      </w:r>
      <w:r>
        <w:rPr>
          <w:rFonts w:asciiTheme="majorBidi" w:hAnsiTheme="majorBidi" w:cstheme="majorBidi"/>
          <w:color w:val="000000" w:themeColor="text1"/>
          <w:sz w:val="24"/>
          <w:szCs w:val="24"/>
          <w:shd w:val="clear" w:color="auto" w:fill="FFFFFF"/>
        </w:rPr>
        <w:t>s</w:t>
      </w:r>
      <w:r w:rsidRPr="00300F44">
        <w:rPr>
          <w:rFonts w:asciiTheme="majorBidi" w:hAnsiTheme="majorBidi" w:cstheme="majorBidi"/>
          <w:color w:val="000000" w:themeColor="text1"/>
          <w:sz w:val="24"/>
          <w:szCs w:val="24"/>
          <w:shd w:val="clear" w:color="auto" w:fill="FFFFFF"/>
        </w:rPr>
        <w:t xml:space="preserve"> chez l</w:t>
      </w:r>
      <w:r>
        <w:rPr>
          <w:rFonts w:asciiTheme="majorBidi" w:hAnsiTheme="majorBidi" w:cstheme="majorBidi"/>
          <w:color w:val="000000" w:themeColor="text1"/>
          <w:sz w:val="24"/>
          <w:szCs w:val="24"/>
          <w:shd w:val="clear" w:color="auto" w:fill="FFFFFF"/>
        </w:rPr>
        <w:t>es patients infectés par le VHC.</w:t>
      </w:r>
    </w:p>
    <w:p w:rsidR="00E71F00" w:rsidRDefault="00E71F00" w:rsidP="00E71F00">
      <w:pPr>
        <w:tabs>
          <w:tab w:val="left" w:pos="5793"/>
        </w:tabs>
        <w:spacing w:line="360" w:lineRule="auto"/>
        <w:jc w:val="both"/>
        <w:rPr>
          <w:rFonts w:asciiTheme="majorBidi" w:hAnsiTheme="majorBidi" w:cstheme="majorBidi"/>
          <w:color w:val="000000" w:themeColor="text1"/>
          <w:sz w:val="24"/>
          <w:szCs w:val="24"/>
          <w:shd w:val="clear" w:color="auto" w:fill="FFFFFF"/>
        </w:rPr>
      </w:pPr>
      <w:r w:rsidRPr="00EE5429">
        <w:rPr>
          <w:rFonts w:ascii="Times New Roman" w:hAnsi="Times New Roman" w:cs="Times New Roman"/>
          <w:sz w:val="24"/>
          <w:szCs w:val="24"/>
        </w:rPr>
        <w:t>Dans notre étude</w:t>
      </w:r>
      <w:r>
        <w:rPr>
          <w:rFonts w:ascii="Times New Roman" w:hAnsi="Times New Roman" w:cs="Times New Roman"/>
          <w:sz w:val="24"/>
          <w:szCs w:val="24"/>
        </w:rPr>
        <w:t xml:space="preserve">, </w:t>
      </w:r>
      <w:r w:rsidRPr="00EE5429">
        <w:rPr>
          <w:rFonts w:ascii="Times New Roman" w:hAnsi="Times New Roman" w:cs="Times New Roman"/>
          <w:sz w:val="24"/>
          <w:szCs w:val="24"/>
        </w:rPr>
        <w:t xml:space="preserve">nous avons trouvé que la fréquence des témoins ayant un IMC≥25 est plus élevée que celle des malades. </w:t>
      </w:r>
      <w:r w:rsidRPr="00EE5429">
        <w:rPr>
          <w:rFonts w:asciiTheme="majorBidi" w:hAnsiTheme="majorBidi" w:cstheme="majorBidi"/>
          <w:sz w:val="24"/>
          <w:szCs w:val="24"/>
          <w:shd w:val="clear" w:color="auto" w:fill="FFFFFF"/>
        </w:rPr>
        <w:t xml:space="preserve">La différence entre ces deux fréquences est hautement significative. </w:t>
      </w:r>
      <w:r>
        <w:rPr>
          <w:rFonts w:asciiTheme="majorBidi" w:hAnsiTheme="majorBidi" w:cstheme="majorBidi"/>
          <w:sz w:val="24"/>
          <w:szCs w:val="24"/>
          <w:shd w:val="clear" w:color="auto" w:fill="FFFFFF"/>
        </w:rPr>
        <w:t>Notre résultat diverge de la littérature, où  on trouve généralement que les patients atteints de l’hépatite C sont les plus touchés</w:t>
      </w:r>
      <w:r w:rsidR="004E2073">
        <w:rPr>
          <w:rFonts w:asciiTheme="majorBidi" w:hAnsiTheme="majorBidi" w:cstheme="majorBidi"/>
          <w:sz w:val="24"/>
          <w:szCs w:val="24"/>
          <w:shd w:val="clear" w:color="auto" w:fill="FFFFFF"/>
        </w:rPr>
        <w:t xml:space="preserve"> par le surpoids et l’obésité. </w:t>
      </w:r>
      <w:r w:rsidRPr="00580E82">
        <w:rPr>
          <w:rFonts w:asciiTheme="majorBidi" w:hAnsiTheme="majorBidi" w:cstheme="majorBidi"/>
          <w:color w:val="000000" w:themeColor="text1"/>
          <w:sz w:val="24"/>
          <w:szCs w:val="24"/>
          <w:shd w:val="clear" w:color="auto" w:fill="FFFFFF"/>
        </w:rPr>
        <w:t>Ceci peut être justifié</w:t>
      </w:r>
      <w:r>
        <w:rPr>
          <w:rFonts w:asciiTheme="majorBidi" w:hAnsiTheme="majorBidi" w:cstheme="majorBidi"/>
          <w:color w:val="000000" w:themeColor="text1"/>
          <w:sz w:val="24"/>
          <w:szCs w:val="24"/>
          <w:shd w:val="clear" w:color="auto" w:fill="FFFFFF"/>
        </w:rPr>
        <w:t xml:space="preserve"> que dans notre population d’étude nous avons exclu les individus diabétiques alors que il est démontré que  </w:t>
      </w:r>
      <w:r w:rsidRPr="00300F44">
        <w:rPr>
          <w:rFonts w:asciiTheme="majorBidi" w:hAnsiTheme="majorBidi" w:cstheme="majorBidi"/>
          <w:color w:val="000000" w:themeColor="text1"/>
          <w:sz w:val="24"/>
          <w:szCs w:val="24"/>
          <w:shd w:val="clear" w:color="auto" w:fill="FFFFFF"/>
        </w:rPr>
        <w:t>l'IMC</w:t>
      </w:r>
      <w:r>
        <w:rPr>
          <w:rFonts w:asciiTheme="majorBidi" w:hAnsiTheme="majorBidi" w:cstheme="majorBidi"/>
          <w:color w:val="000000" w:themeColor="text1"/>
          <w:sz w:val="24"/>
          <w:szCs w:val="24"/>
          <w:shd w:val="clear" w:color="auto" w:fill="FFFFFF"/>
        </w:rPr>
        <w:t xml:space="preserve"> élevé </w:t>
      </w:r>
      <w:r w:rsidRPr="00300F44">
        <w:rPr>
          <w:rFonts w:asciiTheme="majorBidi" w:hAnsiTheme="majorBidi" w:cstheme="majorBidi"/>
          <w:color w:val="000000" w:themeColor="text1"/>
          <w:sz w:val="24"/>
          <w:szCs w:val="24"/>
          <w:shd w:val="clear" w:color="auto" w:fill="FFFFFF"/>
        </w:rPr>
        <w:t xml:space="preserve">était associé à un risque accru de diabète </w:t>
      </w:r>
      <w:r>
        <w:rPr>
          <w:rFonts w:asciiTheme="majorBidi" w:hAnsiTheme="majorBidi" w:cstheme="majorBidi"/>
          <w:color w:val="000000" w:themeColor="text1"/>
          <w:sz w:val="24"/>
          <w:szCs w:val="24"/>
          <w:shd w:val="clear" w:color="auto" w:fill="FFFFFF"/>
        </w:rPr>
        <w:t>de type II</w:t>
      </w:r>
      <w:r w:rsidRPr="00300F44">
        <w:rPr>
          <w:rFonts w:asciiTheme="majorBidi" w:hAnsiTheme="majorBidi" w:cstheme="majorBidi"/>
          <w:color w:val="000000" w:themeColor="text1"/>
          <w:sz w:val="24"/>
          <w:szCs w:val="24"/>
          <w:shd w:val="clear" w:color="auto" w:fill="FFFFFF"/>
        </w:rPr>
        <w:t xml:space="preserve"> chez les patients </w:t>
      </w:r>
      <w:r w:rsidRPr="00300F44">
        <w:rPr>
          <w:rFonts w:asciiTheme="majorBidi" w:hAnsiTheme="majorBidi" w:cstheme="majorBidi"/>
          <w:color w:val="000000" w:themeColor="text1"/>
          <w:sz w:val="24"/>
          <w:szCs w:val="24"/>
          <w:shd w:val="clear" w:color="auto" w:fill="FFFFFF"/>
        </w:rPr>
        <w:lastRenderedPageBreak/>
        <w:t>att</w:t>
      </w:r>
      <w:r>
        <w:rPr>
          <w:rFonts w:asciiTheme="majorBidi" w:hAnsiTheme="majorBidi" w:cstheme="majorBidi"/>
          <w:color w:val="000000" w:themeColor="text1"/>
          <w:sz w:val="24"/>
          <w:szCs w:val="24"/>
          <w:shd w:val="clear" w:color="auto" w:fill="FFFFFF"/>
        </w:rPr>
        <w:t>eints du VHC de génotype 1 et 2 (</w:t>
      </w:r>
      <w:r w:rsidRPr="00300F44">
        <w:rPr>
          <w:rFonts w:asciiTheme="majorBidi" w:hAnsiTheme="majorBidi" w:cstheme="majorBidi"/>
          <w:b/>
          <w:bCs/>
          <w:color w:val="000000" w:themeColor="text1"/>
          <w:sz w:val="24"/>
          <w:szCs w:val="24"/>
          <w:shd w:val="clear" w:color="auto" w:fill="FFFFFF"/>
        </w:rPr>
        <w:t>Nerita</w:t>
      </w:r>
      <w:r w:rsidR="006D2195">
        <w:rPr>
          <w:rFonts w:asciiTheme="majorBidi" w:hAnsiTheme="majorBidi" w:cstheme="majorBidi"/>
          <w:b/>
          <w:bCs/>
          <w:color w:val="000000" w:themeColor="text1"/>
          <w:sz w:val="24"/>
          <w:szCs w:val="24"/>
          <w:shd w:val="clear" w:color="auto" w:fill="FFFFFF"/>
        </w:rPr>
        <w:t xml:space="preserve"> </w:t>
      </w:r>
      <w:r w:rsidRPr="00F616D3">
        <w:rPr>
          <w:rFonts w:asciiTheme="majorBidi" w:hAnsiTheme="majorBidi" w:cstheme="majorBidi"/>
          <w:b/>
          <w:bCs/>
          <w:i/>
          <w:iCs/>
          <w:color w:val="000000" w:themeColor="text1"/>
          <w:sz w:val="24"/>
          <w:szCs w:val="24"/>
          <w:shd w:val="clear" w:color="auto" w:fill="FFFFFF"/>
        </w:rPr>
        <w:t>et al</w:t>
      </w:r>
      <w:r>
        <w:rPr>
          <w:rFonts w:asciiTheme="majorBidi" w:hAnsiTheme="majorBidi" w:cstheme="majorBidi"/>
          <w:b/>
          <w:bCs/>
          <w:i/>
          <w:iCs/>
          <w:color w:val="000000" w:themeColor="text1"/>
          <w:sz w:val="24"/>
          <w:szCs w:val="24"/>
          <w:shd w:val="clear" w:color="auto" w:fill="FFFFFF"/>
        </w:rPr>
        <w:t>.,</w:t>
      </w:r>
      <w:r w:rsidR="006D2195">
        <w:rPr>
          <w:rFonts w:asciiTheme="majorBidi" w:hAnsiTheme="majorBidi" w:cstheme="majorBidi"/>
          <w:b/>
          <w:bCs/>
          <w:i/>
          <w:iCs/>
          <w:color w:val="000000" w:themeColor="text1"/>
          <w:sz w:val="24"/>
          <w:szCs w:val="24"/>
          <w:shd w:val="clear" w:color="auto" w:fill="FFFFFF"/>
        </w:rPr>
        <w:t xml:space="preserve"> </w:t>
      </w:r>
      <w:r w:rsidRPr="00300F44">
        <w:rPr>
          <w:rFonts w:asciiTheme="majorBidi" w:hAnsiTheme="majorBidi" w:cstheme="majorBidi"/>
          <w:b/>
          <w:bCs/>
          <w:color w:val="000000" w:themeColor="text1"/>
          <w:sz w:val="24"/>
          <w:szCs w:val="24"/>
          <w:shd w:val="clear" w:color="auto" w:fill="FFFFFF"/>
        </w:rPr>
        <w:t>2004</w:t>
      </w:r>
      <w:r w:rsidRPr="002F0BF6">
        <w:rPr>
          <w:rFonts w:asciiTheme="majorBidi" w:hAnsiTheme="majorBidi" w:cstheme="majorBidi"/>
          <w:color w:val="000000" w:themeColor="text1"/>
          <w:sz w:val="24"/>
          <w:szCs w:val="24"/>
          <w:shd w:val="clear" w:color="auto" w:fill="FFFFFF"/>
        </w:rPr>
        <w:t>).</w:t>
      </w:r>
      <w:r w:rsidR="004E2073">
        <w:rPr>
          <w:rFonts w:asciiTheme="majorBidi" w:hAnsiTheme="majorBidi" w:cstheme="majorBidi"/>
          <w:color w:val="000000" w:themeColor="text1"/>
          <w:sz w:val="24"/>
          <w:szCs w:val="24"/>
          <w:shd w:val="clear" w:color="auto" w:fill="FFFFFF"/>
        </w:rPr>
        <w:t xml:space="preserve"> Il est clairement démontré que</w:t>
      </w:r>
      <w:r w:rsidRPr="004E2073">
        <w:rPr>
          <w:rStyle w:val="lev"/>
          <w:rFonts w:asciiTheme="majorBidi" w:hAnsiTheme="majorBidi" w:cstheme="majorBidi"/>
          <w:b w:val="0"/>
          <w:bCs w:val="0"/>
          <w:sz w:val="24"/>
          <w:szCs w:val="24"/>
          <w:bdr w:val="none" w:sz="0" w:space="0" w:color="auto" w:frame="1"/>
          <w:shd w:val="clear" w:color="auto" w:fill="FFFFFF"/>
        </w:rPr>
        <w:t xml:space="preserve">le </w:t>
      </w:r>
      <w:r w:rsidRPr="00685F22">
        <w:rPr>
          <w:rStyle w:val="lev"/>
          <w:rFonts w:asciiTheme="majorBidi" w:hAnsiTheme="majorBidi" w:cstheme="majorBidi"/>
          <w:b w:val="0"/>
          <w:bCs w:val="0"/>
          <w:sz w:val="24"/>
          <w:szCs w:val="24"/>
          <w:bdr w:val="none" w:sz="0" w:space="0" w:color="auto" w:frame="1"/>
          <w:shd w:val="clear" w:color="auto" w:fill="FFFFFF"/>
        </w:rPr>
        <w:t>surpoids et le diabète sont étroitement liés. Ainsi les trois-quarts des diabétiques de type 2 souffrent d'obésité</w:t>
      </w:r>
      <w:r w:rsidR="006D2195">
        <w:rPr>
          <w:rStyle w:val="lev"/>
          <w:rFonts w:asciiTheme="majorBidi" w:hAnsiTheme="majorBidi" w:cstheme="majorBidi"/>
          <w:b w:val="0"/>
          <w:bCs w:val="0"/>
          <w:sz w:val="24"/>
          <w:szCs w:val="24"/>
          <w:bdr w:val="none" w:sz="0" w:space="0" w:color="auto" w:frame="1"/>
          <w:shd w:val="clear" w:color="auto" w:fill="FFFFFF"/>
        </w:rPr>
        <w:t xml:space="preserve"> </w:t>
      </w:r>
      <w:r w:rsidRPr="000A23D0">
        <w:rPr>
          <w:rStyle w:val="lev"/>
          <w:rFonts w:asciiTheme="majorBidi" w:hAnsiTheme="majorBidi" w:cstheme="majorBidi"/>
          <w:sz w:val="24"/>
          <w:szCs w:val="24"/>
          <w:bdr w:val="none" w:sz="0" w:space="0" w:color="auto" w:frame="1"/>
          <w:shd w:val="clear" w:color="auto" w:fill="FFFFFF"/>
        </w:rPr>
        <w:t>(</w:t>
      </w:r>
      <w:r w:rsidRPr="000A23D0">
        <w:rPr>
          <w:rFonts w:asciiTheme="majorBidi" w:hAnsiTheme="majorBidi" w:cstheme="majorBidi"/>
          <w:b/>
          <w:bCs/>
          <w:sz w:val="24"/>
          <w:szCs w:val="24"/>
          <w:shd w:val="clear" w:color="auto" w:fill="FFFFFF"/>
        </w:rPr>
        <w:t>Hermansen</w:t>
      </w:r>
      <w:r w:rsidRPr="00F616D3">
        <w:rPr>
          <w:rFonts w:asciiTheme="majorBidi" w:hAnsiTheme="majorBidi" w:cstheme="majorBidi"/>
          <w:b/>
          <w:bCs/>
          <w:i/>
          <w:iCs/>
          <w:sz w:val="24"/>
          <w:szCs w:val="24"/>
          <w:shd w:val="clear" w:color="auto" w:fill="FFFFFF"/>
        </w:rPr>
        <w:t>et al</w:t>
      </w:r>
      <w:r w:rsidR="00685F22">
        <w:rPr>
          <w:rFonts w:asciiTheme="majorBidi" w:hAnsiTheme="majorBidi" w:cstheme="majorBidi"/>
          <w:b/>
          <w:bCs/>
          <w:i/>
          <w:iCs/>
          <w:sz w:val="24"/>
          <w:szCs w:val="24"/>
          <w:shd w:val="clear" w:color="auto" w:fill="FFFFFF"/>
        </w:rPr>
        <w:t>,</w:t>
      </w:r>
      <w:r w:rsidRPr="000A23D0">
        <w:rPr>
          <w:rFonts w:asciiTheme="majorBidi" w:hAnsiTheme="majorBidi" w:cstheme="majorBidi"/>
          <w:b/>
          <w:bCs/>
          <w:sz w:val="24"/>
          <w:szCs w:val="24"/>
          <w:shd w:val="clear" w:color="auto" w:fill="FFFFFF"/>
        </w:rPr>
        <w:t>. 2006)</w:t>
      </w:r>
      <w:r w:rsidRPr="000A23D0">
        <w:rPr>
          <w:rStyle w:val="lev"/>
          <w:rFonts w:asciiTheme="majorBidi" w:hAnsiTheme="majorBidi" w:cstheme="majorBidi"/>
          <w:sz w:val="24"/>
          <w:szCs w:val="24"/>
          <w:bdr w:val="none" w:sz="0" w:space="0" w:color="auto" w:frame="1"/>
          <w:shd w:val="clear" w:color="auto" w:fill="FFFFFF"/>
        </w:rPr>
        <w:t>.</w:t>
      </w:r>
    </w:p>
    <w:p w:rsidR="00E71F00" w:rsidRPr="00F616D3" w:rsidRDefault="00E71F00" w:rsidP="00E71F00">
      <w:pPr>
        <w:spacing w:after="0" w:line="360" w:lineRule="auto"/>
        <w:jc w:val="both"/>
        <w:rPr>
          <w:rFonts w:ascii="Times New Roman" w:hAnsi="Times New Roman" w:cs="Times New Roman"/>
          <w:b/>
          <w:bCs/>
          <w:i/>
          <w:iCs/>
          <w:color w:val="7030A0"/>
          <w:sz w:val="24"/>
          <w:szCs w:val="24"/>
        </w:rPr>
      </w:pPr>
      <w:r w:rsidRPr="00F616D3">
        <w:rPr>
          <w:rFonts w:ascii="Times New Roman" w:hAnsi="Times New Roman" w:cs="Times New Roman"/>
          <w:b/>
          <w:bCs/>
          <w:i/>
          <w:iCs/>
          <w:color w:val="7030A0"/>
          <w:sz w:val="24"/>
          <w:szCs w:val="24"/>
        </w:rPr>
        <w:t xml:space="preserve">Syndrome métabolique  </w:t>
      </w:r>
    </w:p>
    <w:p w:rsidR="00E71F00" w:rsidRDefault="00E71F00" w:rsidP="006D2195">
      <w:pPr>
        <w:autoSpaceDE w:val="0"/>
        <w:autoSpaceDN w:val="0"/>
        <w:adjustRightInd w:val="0"/>
        <w:spacing w:after="0" w:line="360" w:lineRule="auto"/>
        <w:ind w:firstLine="708"/>
        <w:jc w:val="both"/>
        <w:rPr>
          <w:rFonts w:asciiTheme="majorBidi" w:hAnsiTheme="majorBidi" w:cstheme="majorBidi"/>
          <w:sz w:val="24"/>
          <w:szCs w:val="24"/>
        </w:rPr>
      </w:pPr>
      <w:r w:rsidRPr="0033414C">
        <w:rPr>
          <w:rFonts w:asciiTheme="majorBidi" w:hAnsiTheme="majorBidi" w:cstheme="majorBidi"/>
          <w:sz w:val="24"/>
          <w:szCs w:val="24"/>
        </w:rPr>
        <w:t xml:space="preserve">Selon </w:t>
      </w:r>
      <w:r w:rsidRPr="0033414C">
        <w:rPr>
          <w:rFonts w:asciiTheme="majorBidi" w:hAnsiTheme="majorBidi" w:cstheme="majorBidi"/>
          <w:b/>
          <w:bCs/>
          <w:sz w:val="24"/>
          <w:szCs w:val="24"/>
        </w:rPr>
        <w:t>Moucari</w:t>
      </w:r>
      <w:r w:rsidRPr="0033414C">
        <w:rPr>
          <w:rFonts w:asciiTheme="majorBidi" w:hAnsiTheme="majorBidi" w:cstheme="majorBidi"/>
          <w:b/>
          <w:bCs/>
          <w:sz w:val="24"/>
          <w:szCs w:val="24"/>
          <w:vertAlign w:val="superscript"/>
        </w:rPr>
        <w:t xml:space="preserve">  </w:t>
      </w:r>
      <w:r w:rsidRPr="0033414C">
        <w:rPr>
          <w:rFonts w:asciiTheme="majorBidi" w:hAnsiTheme="majorBidi" w:cstheme="majorBidi"/>
          <w:b/>
          <w:bCs/>
          <w:i/>
          <w:iCs/>
          <w:sz w:val="24"/>
          <w:szCs w:val="24"/>
        </w:rPr>
        <w:t>et al</w:t>
      </w:r>
      <w:r w:rsidRPr="0033414C">
        <w:rPr>
          <w:rFonts w:asciiTheme="majorBidi" w:hAnsiTheme="majorBidi" w:cstheme="majorBidi"/>
          <w:b/>
          <w:bCs/>
          <w:sz w:val="24"/>
          <w:szCs w:val="24"/>
        </w:rPr>
        <w:t>., 2007</w:t>
      </w:r>
      <w:r w:rsidRPr="0033414C">
        <w:rPr>
          <w:rFonts w:asciiTheme="majorBidi" w:hAnsiTheme="majorBidi" w:cstheme="majorBidi"/>
          <w:sz w:val="24"/>
          <w:szCs w:val="24"/>
        </w:rPr>
        <w:t>, le diabète de type 2 et l’obésité sont les</w:t>
      </w:r>
      <w:r>
        <w:rPr>
          <w:rFonts w:asciiTheme="majorBidi" w:hAnsiTheme="majorBidi" w:cstheme="majorBidi"/>
          <w:sz w:val="24"/>
          <w:szCs w:val="24"/>
        </w:rPr>
        <w:t xml:space="preserve"> deux </w:t>
      </w:r>
      <w:r w:rsidRPr="0033414C">
        <w:rPr>
          <w:rFonts w:asciiTheme="majorBidi" w:hAnsiTheme="majorBidi" w:cstheme="majorBidi"/>
          <w:sz w:val="24"/>
          <w:szCs w:val="24"/>
        </w:rPr>
        <w:t xml:space="preserve"> facteurs principaux du développement récent du syndrome métabolique contribuant à l’hyperglycémie, l’hypertension et l’hypercholestérolémie,et ils sont des facteurs de risque établis de progression de la fibrose dans l’hépatite C</w:t>
      </w:r>
      <w:r w:rsidR="006D2195">
        <w:rPr>
          <w:rFonts w:asciiTheme="majorBidi" w:hAnsiTheme="majorBidi" w:cstheme="majorBidi"/>
          <w:sz w:val="24"/>
          <w:szCs w:val="24"/>
        </w:rPr>
        <w:t xml:space="preserve"> </w:t>
      </w:r>
      <w:r w:rsidRPr="0033414C">
        <w:rPr>
          <w:rFonts w:asciiTheme="majorBidi" w:hAnsiTheme="majorBidi" w:cstheme="majorBidi"/>
          <w:sz w:val="24"/>
          <w:szCs w:val="24"/>
        </w:rPr>
        <w:t>(</w:t>
      </w:r>
      <w:r w:rsidRPr="0033414C">
        <w:rPr>
          <w:rFonts w:asciiTheme="majorBidi" w:hAnsiTheme="majorBidi" w:cstheme="majorBidi"/>
          <w:b/>
          <w:bCs/>
          <w:sz w:val="24"/>
          <w:szCs w:val="24"/>
        </w:rPr>
        <w:t>Fartoux</w:t>
      </w:r>
      <w:r w:rsidR="006D2195">
        <w:rPr>
          <w:rFonts w:asciiTheme="majorBidi" w:hAnsiTheme="majorBidi" w:cstheme="majorBidi"/>
          <w:b/>
          <w:bCs/>
          <w:sz w:val="24"/>
          <w:szCs w:val="24"/>
        </w:rPr>
        <w:t xml:space="preserve"> </w:t>
      </w:r>
      <w:r w:rsidRPr="0033414C">
        <w:rPr>
          <w:rFonts w:asciiTheme="majorBidi" w:hAnsiTheme="majorBidi" w:cstheme="majorBidi"/>
          <w:b/>
          <w:bCs/>
          <w:i/>
          <w:iCs/>
          <w:sz w:val="24"/>
          <w:szCs w:val="24"/>
        </w:rPr>
        <w:t>et al</w:t>
      </w:r>
      <w:r w:rsidRPr="0033414C">
        <w:rPr>
          <w:rFonts w:asciiTheme="majorBidi" w:hAnsiTheme="majorBidi" w:cstheme="majorBidi"/>
          <w:b/>
          <w:bCs/>
          <w:sz w:val="24"/>
          <w:szCs w:val="24"/>
        </w:rPr>
        <w:t>,</w:t>
      </w:r>
      <w:r w:rsidR="006D2195">
        <w:rPr>
          <w:rFonts w:asciiTheme="majorBidi" w:hAnsiTheme="majorBidi" w:cstheme="majorBidi"/>
          <w:b/>
          <w:bCs/>
          <w:sz w:val="24"/>
          <w:szCs w:val="24"/>
        </w:rPr>
        <w:t xml:space="preserve"> </w:t>
      </w:r>
      <w:r w:rsidRPr="0033414C">
        <w:rPr>
          <w:rFonts w:asciiTheme="majorBidi" w:hAnsiTheme="majorBidi" w:cstheme="majorBidi"/>
          <w:b/>
          <w:bCs/>
          <w:sz w:val="24"/>
          <w:szCs w:val="24"/>
        </w:rPr>
        <w:t>2007</w:t>
      </w:r>
      <w:r w:rsidRPr="0033414C">
        <w:rPr>
          <w:rFonts w:asciiTheme="majorBidi" w:hAnsiTheme="majorBidi" w:cstheme="majorBidi"/>
          <w:sz w:val="24"/>
          <w:szCs w:val="24"/>
        </w:rPr>
        <w:t>).</w:t>
      </w:r>
      <w:r w:rsidR="006D2195">
        <w:rPr>
          <w:rFonts w:asciiTheme="majorBidi" w:hAnsiTheme="majorBidi" w:cstheme="majorBidi"/>
          <w:sz w:val="24"/>
          <w:szCs w:val="24"/>
        </w:rPr>
        <w:t xml:space="preserve"> </w:t>
      </w:r>
      <w:r w:rsidRPr="0033414C">
        <w:rPr>
          <w:rFonts w:asciiTheme="majorBidi" w:hAnsiTheme="majorBidi" w:cstheme="majorBidi"/>
          <w:sz w:val="24"/>
          <w:szCs w:val="24"/>
        </w:rPr>
        <w:t>Les</w:t>
      </w:r>
      <w:r w:rsidR="006D2195">
        <w:rPr>
          <w:rFonts w:asciiTheme="majorBidi" w:hAnsiTheme="majorBidi" w:cstheme="majorBidi"/>
          <w:sz w:val="24"/>
          <w:szCs w:val="24"/>
        </w:rPr>
        <w:t xml:space="preserve"> </w:t>
      </w:r>
      <w:r w:rsidRPr="0033414C">
        <w:rPr>
          <w:rFonts w:asciiTheme="majorBidi" w:hAnsiTheme="majorBidi" w:cstheme="majorBidi"/>
          <w:sz w:val="24"/>
          <w:szCs w:val="24"/>
        </w:rPr>
        <w:t xml:space="preserve">résultats obtenue par </w:t>
      </w:r>
      <w:r>
        <w:rPr>
          <w:rFonts w:asciiTheme="majorBidi" w:hAnsiTheme="majorBidi" w:cstheme="majorBidi"/>
          <w:b/>
          <w:bCs/>
          <w:sz w:val="24"/>
          <w:szCs w:val="24"/>
        </w:rPr>
        <w:t>Hickmann</w:t>
      </w:r>
      <w:r w:rsidR="006D2195">
        <w:rPr>
          <w:rFonts w:asciiTheme="majorBidi" w:hAnsiTheme="majorBidi" w:cstheme="majorBidi"/>
          <w:b/>
          <w:bCs/>
          <w:sz w:val="24"/>
          <w:szCs w:val="24"/>
        </w:rPr>
        <w:t xml:space="preserve"> </w:t>
      </w:r>
      <w:r w:rsidRPr="00F616D3">
        <w:rPr>
          <w:rFonts w:asciiTheme="majorBidi" w:hAnsiTheme="majorBidi" w:cstheme="majorBidi"/>
          <w:b/>
          <w:bCs/>
          <w:i/>
          <w:iCs/>
          <w:sz w:val="24"/>
          <w:szCs w:val="24"/>
        </w:rPr>
        <w:t>et al</w:t>
      </w:r>
      <w:r w:rsidRPr="0033414C">
        <w:rPr>
          <w:rFonts w:asciiTheme="majorBidi" w:hAnsiTheme="majorBidi" w:cstheme="majorBidi"/>
          <w:b/>
          <w:bCs/>
          <w:sz w:val="24"/>
          <w:szCs w:val="24"/>
        </w:rPr>
        <w:t>.</w:t>
      </w:r>
      <w:r>
        <w:rPr>
          <w:rFonts w:asciiTheme="majorBidi" w:hAnsiTheme="majorBidi" w:cstheme="majorBidi"/>
          <w:b/>
          <w:bCs/>
          <w:sz w:val="24"/>
          <w:szCs w:val="24"/>
        </w:rPr>
        <w:t>,</w:t>
      </w:r>
      <w:r w:rsidR="006D2195">
        <w:rPr>
          <w:rFonts w:asciiTheme="majorBidi" w:hAnsiTheme="majorBidi" w:cstheme="majorBidi"/>
          <w:b/>
          <w:bCs/>
          <w:sz w:val="24"/>
          <w:szCs w:val="24"/>
        </w:rPr>
        <w:t xml:space="preserve"> </w:t>
      </w:r>
      <w:r w:rsidRPr="0033414C">
        <w:rPr>
          <w:rFonts w:asciiTheme="majorBidi" w:hAnsiTheme="majorBidi" w:cstheme="majorBidi"/>
          <w:b/>
          <w:bCs/>
          <w:sz w:val="24"/>
          <w:szCs w:val="24"/>
        </w:rPr>
        <w:t>2002</w:t>
      </w:r>
      <w:r w:rsidR="006D2195">
        <w:rPr>
          <w:rFonts w:asciiTheme="majorBidi" w:hAnsiTheme="majorBidi" w:cstheme="majorBidi"/>
          <w:b/>
          <w:bCs/>
          <w:sz w:val="24"/>
          <w:szCs w:val="24"/>
        </w:rPr>
        <w:t xml:space="preserve"> </w:t>
      </w:r>
      <w:r w:rsidRPr="0033414C">
        <w:rPr>
          <w:rFonts w:asciiTheme="majorBidi" w:hAnsiTheme="majorBidi" w:cstheme="majorBidi"/>
          <w:sz w:val="24"/>
          <w:szCs w:val="24"/>
        </w:rPr>
        <w:t>suggèrent que la correction des facteurs métaboliques chez les patients VHC devrait permettre de ralentir la progression de la fibrose, et ceci indépendamment du traitement anti-viral. Ainsi, chez des sujets obèses</w:t>
      </w:r>
      <w:r w:rsidR="006D2195">
        <w:rPr>
          <w:rFonts w:asciiTheme="majorBidi" w:hAnsiTheme="majorBidi" w:cstheme="majorBidi"/>
          <w:sz w:val="24"/>
          <w:szCs w:val="24"/>
        </w:rPr>
        <w:t xml:space="preserve"> </w:t>
      </w:r>
      <w:r w:rsidRPr="0033414C">
        <w:rPr>
          <w:rFonts w:asciiTheme="majorBidi" w:hAnsiTheme="majorBidi" w:cstheme="majorBidi"/>
          <w:sz w:val="24"/>
          <w:szCs w:val="24"/>
        </w:rPr>
        <w:t>ayant une hépatite C, il a été montré que la perte pondérale était associée à une diminution significative de la fibrose</w:t>
      </w:r>
      <w:r w:rsidR="006D2195">
        <w:rPr>
          <w:rFonts w:asciiTheme="majorBidi" w:hAnsiTheme="majorBidi" w:cstheme="majorBidi"/>
          <w:sz w:val="24"/>
          <w:szCs w:val="24"/>
        </w:rPr>
        <w:t xml:space="preserve"> </w:t>
      </w:r>
      <w:r w:rsidRPr="00D35E0D">
        <w:rPr>
          <w:rFonts w:asciiTheme="majorBidi" w:hAnsiTheme="majorBidi" w:cstheme="majorBidi"/>
          <w:b/>
          <w:bCs/>
          <w:sz w:val="24"/>
          <w:szCs w:val="24"/>
        </w:rPr>
        <w:t>(Serfaty, 2010).</w:t>
      </w:r>
      <w:r w:rsidR="006D2195">
        <w:rPr>
          <w:rFonts w:asciiTheme="majorBidi" w:hAnsiTheme="majorBidi" w:cstheme="majorBidi"/>
          <w:b/>
          <w:bCs/>
          <w:sz w:val="24"/>
          <w:szCs w:val="24"/>
        </w:rPr>
        <w:t xml:space="preserve"> </w:t>
      </w:r>
      <w:r w:rsidRPr="0033414C">
        <w:rPr>
          <w:rFonts w:asciiTheme="majorBidi" w:hAnsiTheme="majorBidi" w:cstheme="majorBidi"/>
          <w:sz w:val="24"/>
          <w:szCs w:val="24"/>
        </w:rPr>
        <w:t>Dans notre étude</w:t>
      </w:r>
      <w:r>
        <w:rPr>
          <w:rFonts w:asciiTheme="majorBidi" w:hAnsiTheme="majorBidi" w:cstheme="majorBidi"/>
          <w:sz w:val="24"/>
          <w:szCs w:val="24"/>
        </w:rPr>
        <w:t xml:space="preserve">, seulement </w:t>
      </w:r>
      <w:r w:rsidR="006D2195">
        <w:rPr>
          <w:rFonts w:asciiTheme="majorBidi" w:hAnsiTheme="majorBidi" w:cstheme="majorBidi"/>
          <w:sz w:val="24"/>
          <w:szCs w:val="24"/>
        </w:rPr>
        <w:t>4</w:t>
      </w:r>
      <w:r>
        <w:rPr>
          <w:rFonts w:asciiTheme="majorBidi" w:hAnsiTheme="majorBidi" w:cstheme="majorBidi"/>
          <w:sz w:val="24"/>
          <w:szCs w:val="24"/>
        </w:rPr>
        <w:t xml:space="preserve">% des patients infectées ayant le syndrome métabolique. </w:t>
      </w:r>
      <w:r w:rsidR="004E2073">
        <w:rPr>
          <w:rFonts w:asciiTheme="majorBidi" w:hAnsiTheme="majorBidi" w:cstheme="majorBidi"/>
          <w:sz w:val="24"/>
          <w:szCs w:val="24"/>
        </w:rPr>
        <w:t>Ceci</w:t>
      </w:r>
      <w:r>
        <w:rPr>
          <w:rFonts w:asciiTheme="majorBidi" w:hAnsiTheme="majorBidi" w:cstheme="majorBidi"/>
          <w:sz w:val="24"/>
          <w:szCs w:val="24"/>
        </w:rPr>
        <w:t xml:space="preserve"> peut être justifié par l’exclusion des cas diabétiques de notre échantillon.</w:t>
      </w:r>
    </w:p>
    <w:p w:rsidR="004E2073" w:rsidRDefault="004E2073" w:rsidP="00E71F00">
      <w:pPr>
        <w:spacing w:line="360" w:lineRule="auto"/>
        <w:jc w:val="both"/>
        <w:rPr>
          <w:rFonts w:asciiTheme="majorBidi" w:hAnsiTheme="majorBidi" w:cstheme="majorBidi"/>
          <w:b/>
          <w:bCs/>
          <w:i/>
          <w:iCs/>
          <w:color w:val="7030A0"/>
          <w:sz w:val="24"/>
          <w:szCs w:val="24"/>
          <w:shd w:val="clear" w:color="auto" w:fill="FFFFFF"/>
        </w:rPr>
      </w:pPr>
    </w:p>
    <w:p w:rsidR="00E71F00" w:rsidRPr="00F616D3" w:rsidRDefault="00E71F00" w:rsidP="00E71F00">
      <w:pPr>
        <w:spacing w:line="360" w:lineRule="auto"/>
        <w:jc w:val="both"/>
        <w:rPr>
          <w:rFonts w:asciiTheme="majorBidi" w:hAnsiTheme="majorBidi" w:cstheme="majorBidi"/>
          <w:b/>
          <w:bCs/>
          <w:i/>
          <w:iCs/>
          <w:color w:val="7030A0"/>
          <w:sz w:val="24"/>
          <w:szCs w:val="24"/>
          <w:shd w:val="clear" w:color="auto" w:fill="FFFFFF"/>
        </w:rPr>
      </w:pPr>
      <w:r w:rsidRPr="00F616D3">
        <w:rPr>
          <w:rFonts w:asciiTheme="majorBidi" w:hAnsiTheme="majorBidi" w:cstheme="majorBidi"/>
          <w:b/>
          <w:bCs/>
          <w:i/>
          <w:iCs/>
          <w:color w:val="7030A0"/>
          <w:sz w:val="24"/>
          <w:szCs w:val="24"/>
          <w:shd w:val="clear" w:color="auto" w:fill="FFFFFF"/>
        </w:rPr>
        <w:t xml:space="preserve">Le bilan hépatique  </w:t>
      </w:r>
    </w:p>
    <w:p w:rsidR="00E71F00" w:rsidRDefault="00E71F00" w:rsidP="00E71F00">
      <w:pPr>
        <w:spacing w:line="360" w:lineRule="auto"/>
        <w:ind w:firstLine="708"/>
        <w:jc w:val="both"/>
        <w:rPr>
          <w:rFonts w:asciiTheme="majorBidi" w:hAnsiTheme="majorBidi" w:cstheme="majorBidi"/>
          <w:b/>
          <w:bCs/>
          <w:color w:val="7030A0"/>
          <w:sz w:val="28"/>
          <w:szCs w:val="28"/>
          <w:shd w:val="clear" w:color="auto" w:fill="FFFFFF"/>
        </w:rPr>
      </w:pPr>
      <w:r>
        <w:rPr>
          <w:rFonts w:asciiTheme="majorBidi" w:hAnsiTheme="majorBidi" w:cstheme="majorBidi"/>
          <w:color w:val="000000" w:themeColor="text1"/>
          <w:sz w:val="24"/>
          <w:szCs w:val="24"/>
          <w:shd w:val="clear" w:color="auto" w:fill="FFFFFF"/>
        </w:rPr>
        <w:t xml:space="preserve">La répartition de l’échantillon en fonction des taux des TGO et TGP montre une différence significative entre le groupe malade et le groupe témoin. Une augmentation des transaminases a été clairement retrouvée chez les patients. Les transaminases élevées sont le  signe d'une cytolyse hépatique qui traduit une atteinte de la membrane hépatocytaire. Cette  atteinte  peut  être  une destruction  de  la  membrane  qui  définit  la  nécrose  hépatocytaire  ou  une  augmentation de  la  perméabilité  membranaire  qui  favorise  le  passage  d'ASAT et ALAT  dans  le  plasma </w:t>
      </w:r>
      <w:r>
        <w:rPr>
          <w:rFonts w:asciiTheme="majorBidi" w:hAnsiTheme="majorBidi" w:cstheme="majorBidi"/>
          <w:b/>
          <w:bCs/>
          <w:color w:val="000000" w:themeColor="text1"/>
          <w:sz w:val="24"/>
          <w:szCs w:val="24"/>
          <w:shd w:val="clear" w:color="auto" w:fill="FFFFFF"/>
        </w:rPr>
        <w:t xml:space="preserve">(Benhamou </w:t>
      </w:r>
      <w:r w:rsidRPr="00F616D3">
        <w:rPr>
          <w:rFonts w:asciiTheme="majorBidi" w:hAnsiTheme="majorBidi" w:cstheme="majorBidi"/>
          <w:b/>
          <w:bCs/>
          <w:i/>
          <w:iCs/>
          <w:color w:val="000000" w:themeColor="text1"/>
          <w:sz w:val="24"/>
          <w:szCs w:val="24"/>
          <w:shd w:val="clear" w:color="auto" w:fill="FFFFFF"/>
        </w:rPr>
        <w:t>et al</w:t>
      </w:r>
      <w:r>
        <w:rPr>
          <w:rFonts w:asciiTheme="majorBidi" w:hAnsiTheme="majorBidi" w:cstheme="majorBidi"/>
          <w:b/>
          <w:bCs/>
          <w:i/>
          <w:iCs/>
          <w:color w:val="000000" w:themeColor="text1"/>
          <w:sz w:val="24"/>
          <w:szCs w:val="24"/>
          <w:shd w:val="clear" w:color="auto" w:fill="FFFFFF"/>
        </w:rPr>
        <w:t>.,</w:t>
      </w:r>
      <w:r>
        <w:rPr>
          <w:rFonts w:asciiTheme="majorBidi" w:hAnsiTheme="majorBidi" w:cstheme="majorBidi"/>
          <w:b/>
          <w:bCs/>
          <w:color w:val="000000" w:themeColor="text1"/>
          <w:sz w:val="24"/>
          <w:szCs w:val="24"/>
          <w:shd w:val="clear" w:color="auto" w:fill="FFFFFF"/>
        </w:rPr>
        <w:t xml:space="preserve"> 2002).</w:t>
      </w:r>
    </w:p>
    <w:p w:rsidR="00E71F00" w:rsidRDefault="00E71F00" w:rsidP="00E71F00">
      <w:pPr>
        <w:spacing w:line="360" w:lineRule="auto"/>
        <w:ind w:firstLine="708"/>
        <w:jc w:val="both"/>
        <w:rPr>
          <w:rFonts w:asciiTheme="majorBidi" w:hAnsiTheme="majorBidi" w:cstheme="majorBidi"/>
          <w:b/>
          <w:bCs/>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Néanmoins dans notre série de malade (75%) avait un taux de TGP (ALAT) normale. </w:t>
      </w:r>
      <w:r>
        <w:rPr>
          <w:rFonts w:asciiTheme="majorBidi" w:hAnsiTheme="majorBidi" w:cstheme="majorBidi"/>
          <w:b/>
          <w:bCs/>
          <w:color w:val="000000" w:themeColor="text1"/>
          <w:sz w:val="24"/>
          <w:szCs w:val="24"/>
          <w:shd w:val="clear" w:color="auto" w:fill="FFFFFF"/>
        </w:rPr>
        <w:t>Teeter</w:t>
      </w:r>
      <w:r w:rsidR="006D2195">
        <w:rPr>
          <w:rFonts w:asciiTheme="majorBidi" w:hAnsiTheme="majorBidi" w:cstheme="majorBidi"/>
          <w:b/>
          <w:bCs/>
          <w:color w:val="000000" w:themeColor="text1"/>
          <w:sz w:val="24"/>
          <w:szCs w:val="24"/>
          <w:shd w:val="clear" w:color="auto" w:fill="FFFFFF"/>
        </w:rPr>
        <w:t xml:space="preserve"> </w:t>
      </w:r>
      <w:r w:rsidRPr="00F616D3">
        <w:rPr>
          <w:rFonts w:asciiTheme="majorBidi" w:hAnsiTheme="majorBidi" w:cstheme="majorBidi"/>
          <w:b/>
          <w:bCs/>
          <w:i/>
          <w:iCs/>
          <w:color w:val="000000" w:themeColor="text1"/>
          <w:sz w:val="24"/>
          <w:szCs w:val="24"/>
          <w:shd w:val="clear" w:color="auto" w:fill="FFFFFF"/>
        </w:rPr>
        <w:t>et al</w:t>
      </w:r>
      <w:r>
        <w:rPr>
          <w:rFonts w:asciiTheme="majorBidi" w:hAnsiTheme="majorBidi" w:cstheme="majorBidi"/>
          <w:b/>
          <w:bCs/>
          <w:color w:val="000000" w:themeColor="text1"/>
          <w:sz w:val="24"/>
          <w:szCs w:val="24"/>
          <w:shd w:val="clear" w:color="auto" w:fill="FFFFFF"/>
        </w:rPr>
        <w:t>., 2004</w:t>
      </w:r>
      <w:r>
        <w:rPr>
          <w:rFonts w:asciiTheme="majorBidi" w:hAnsiTheme="majorBidi" w:cstheme="majorBidi"/>
          <w:color w:val="000000" w:themeColor="text1"/>
          <w:sz w:val="24"/>
          <w:szCs w:val="24"/>
          <w:shd w:val="clear" w:color="auto" w:fill="FFFFFF"/>
        </w:rPr>
        <w:t xml:space="preserve"> ont montré que chez (30%) des patients VHC</w:t>
      </w:r>
      <w:r>
        <w:rPr>
          <w:rFonts w:asciiTheme="majorBidi" w:hAnsiTheme="majorBidi" w:cstheme="majorBidi"/>
          <w:color w:val="000000" w:themeColor="text1"/>
          <w:sz w:val="24"/>
          <w:szCs w:val="24"/>
          <w:shd w:val="clear" w:color="auto" w:fill="FFFFFF"/>
          <w:vertAlign w:val="superscript"/>
        </w:rPr>
        <w:t>+</w:t>
      </w:r>
      <w:r>
        <w:rPr>
          <w:rFonts w:asciiTheme="majorBidi" w:hAnsiTheme="majorBidi" w:cstheme="majorBidi"/>
          <w:color w:val="000000" w:themeColor="text1"/>
          <w:sz w:val="24"/>
          <w:szCs w:val="24"/>
          <w:shd w:val="clear" w:color="auto" w:fill="FFFFFF"/>
        </w:rPr>
        <w:t>, la fibrose progresse avec un rythme plus lent comparativement aux patients ayant des niveaux élevés. Les mêmes résultats ont été constatés pour la TGO qui est une enzyme similaire à la TGP mais qui n’est pas aussi spécifique aux maladies du foie.</w:t>
      </w:r>
    </w:p>
    <w:p w:rsidR="00E71F00" w:rsidRDefault="00E71F00" w:rsidP="00E71F00">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color w:val="000000" w:themeColor="text1"/>
          <w:sz w:val="24"/>
          <w:szCs w:val="24"/>
          <w:shd w:val="clear" w:color="auto" w:fill="FFFFFF"/>
        </w:rPr>
        <w:t xml:space="preserve">En ce qui concerne les taux de la bilirubine totale et de la bilirubine directe, une hyperbilirubinie observée dans notre, ceci est en accord avec la physiologie. Selon </w:t>
      </w:r>
      <w:r>
        <w:rPr>
          <w:rFonts w:asciiTheme="majorBidi" w:hAnsiTheme="majorBidi" w:cstheme="majorBidi"/>
          <w:b/>
          <w:bCs/>
          <w:color w:val="000000" w:themeColor="text1"/>
          <w:sz w:val="24"/>
          <w:szCs w:val="24"/>
          <w:shd w:val="clear" w:color="auto" w:fill="FFFFFF"/>
        </w:rPr>
        <w:t>Gaw</w:t>
      </w:r>
      <w:r w:rsidR="006D2195">
        <w:rPr>
          <w:rFonts w:asciiTheme="majorBidi" w:hAnsiTheme="majorBidi" w:cstheme="majorBidi"/>
          <w:b/>
          <w:bCs/>
          <w:color w:val="000000" w:themeColor="text1"/>
          <w:sz w:val="24"/>
          <w:szCs w:val="24"/>
          <w:shd w:val="clear" w:color="auto" w:fill="FFFFFF"/>
        </w:rPr>
        <w:t xml:space="preserve"> </w:t>
      </w:r>
      <w:r w:rsidRPr="00F616D3">
        <w:rPr>
          <w:rFonts w:asciiTheme="majorBidi" w:hAnsiTheme="majorBidi" w:cstheme="majorBidi"/>
          <w:b/>
          <w:bCs/>
          <w:i/>
          <w:iCs/>
          <w:color w:val="000000" w:themeColor="text1"/>
          <w:sz w:val="24"/>
          <w:szCs w:val="24"/>
          <w:shd w:val="clear" w:color="auto" w:fill="FFFFFF"/>
        </w:rPr>
        <w:t>et al</w:t>
      </w:r>
      <w:r>
        <w:rPr>
          <w:rFonts w:asciiTheme="majorBidi" w:hAnsiTheme="majorBidi" w:cstheme="majorBidi"/>
          <w:b/>
          <w:bCs/>
          <w:color w:val="000000" w:themeColor="text1"/>
          <w:sz w:val="24"/>
          <w:szCs w:val="24"/>
          <w:shd w:val="clear" w:color="auto" w:fill="FFFFFF"/>
        </w:rPr>
        <w:t xml:space="preserve">., 2004 </w:t>
      </w:r>
      <w:r>
        <w:rPr>
          <w:rFonts w:asciiTheme="majorBidi" w:hAnsiTheme="majorBidi" w:cstheme="majorBidi"/>
          <w:color w:val="000000" w:themeColor="text1"/>
          <w:sz w:val="24"/>
          <w:szCs w:val="24"/>
          <w:shd w:val="clear" w:color="auto" w:fill="FFFFFF"/>
        </w:rPr>
        <w:t xml:space="preserve">quand les fonctions hépatiques sont normales, la bilirubine est totalement transformée dans le foie en bilirubine conjuguée. Trois mécanismes interviennent : captation hépatocytaire, glycuro-conjugaison et sécrétion biliaire. D’après </w:t>
      </w:r>
      <w:r>
        <w:rPr>
          <w:rFonts w:asciiTheme="majorBidi" w:hAnsiTheme="majorBidi" w:cstheme="majorBidi"/>
          <w:b/>
          <w:bCs/>
          <w:color w:val="000000" w:themeColor="text1"/>
          <w:sz w:val="24"/>
          <w:szCs w:val="24"/>
          <w:shd w:val="clear" w:color="auto" w:fill="FFFFFF"/>
        </w:rPr>
        <w:t>Teeter</w:t>
      </w:r>
      <w:r w:rsidR="006D2195">
        <w:rPr>
          <w:rFonts w:asciiTheme="majorBidi" w:hAnsiTheme="majorBidi" w:cstheme="majorBidi"/>
          <w:b/>
          <w:bCs/>
          <w:color w:val="000000" w:themeColor="text1"/>
          <w:sz w:val="24"/>
          <w:szCs w:val="24"/>
          <w:shd w:val="clear" w:color="auto" w:fill="FFFFFF"/>
        </w:rPr>
        <w:t xml:space="preserve"> </w:t>
      </w:r>
      <w:r w:rsidRPr="00F616D3">
        <w:rPr>
          <w:rFonts w:asciiTheme="majorBidi" w:hAnsiTheme="majorBidi" w:cstheme="majorBidi"/>
          <w:b/>
          <w:bCs/>
          <w:i/>
          <w:iCs/>
          <w:color w:val="000000" w:themeColor="text1"/>
          <w:sz w:val="24"/>
          <w:szCs w:val="24"/>
          <w:shd w:val="clear" w:color="auto" w:fill="FFFFFF"/>
        </w:rPr>
        <w:t>et al</w:t>
      </w:r>
      <w:r>
        <w:rPr>
          <w:rFonts w:asciiTheme="majorBidi" w:hAnsiTheme="majorBidi" w:cstheme="majorBidi"/>
          <w:b/>
          <w:bCs/>
          <w:color w:val="000000" w:themeColor="text1"/>
          <w:sz w:val="24"/>
          <w:szCs w:val="24"/>
          <w:shd w:val="clear" w:color="auto" w:fill="FFFFFF"/>
        </w:rPr>
        <w:t xml:space="preserve">., 2004 </w:t>
      </w:r>
      <w:r>
        <w:rPr>
          <w:rFonts w:asciiTheme="majorBidi" w:hAnsiTheme="majorBidi" w:cstheme="majorBidi"/>
          <w:sz w:val="24"/>
          <w:szCs w:val="24"/>
        </w:rPr>
        <w:t xml:space="preserve">lorsque la fonction </w:t>
      </w:r>
      <w:r>
        <w:rPr>
          <w:rFonts w:asciiTheme="majorBidi" w:hAnsiTheme="majorBidi" w:cstheme="majorBidi"/>
          <w:sz w:val="24"/>
          <w:szCs w:val="24"/>
        </w:rPr>
        <w:lastRenderedPageBreak/>
        <w:t xml:space="preserve">hépatique est endommagée, comme dans le cas d’une hépatite aiguë ou de la phase finale d’une maladie du foie, la bilirubine s’accumule dans le sang et entraîne le jaunissement de la peau et des yeux, cette condition s’appelle la jaunisse. Dans les cas de VHC chronique, le niveau de bilirubine est habituellement normal jusqu’à ce que le foie soit endommagé d’une manière significative. </w:t>
      </w:r>
    </w:p>
    <w:p w:rsidR="00E71F00" w:rsidRDefault="00E71F00" w:rsidP="00E71F00">
      <w:pPr>
        <w:spacing w:line="360" w:lineRule="auto"/>
        <w:ind w:firstLine="708"/>
        <w:jc w:val="both"/>
        <w:rPr>
          <w:rFonts w:ascii="Times New Roman" w:hAnsi="Times New Roman" w:cs="Times New Roman"/>
          <w:sz w:val="24"/>
          <w:szCs w:val="24"/>
        </w:rPr>
      </w:pPr>
      <w:r>
        <w:rPr>
          <w:rStyle w:val="Corpsdutexte"/>
          <w:rFonts w:eastAsiaTheme="minorHAnsi"/>
          <w:sz w:val="24"/>
          <w:szCs w:val="24"/>
        </w:rPr>
        <w:t>La répartition des deux groupes en fonction des classes de protidémie montre que les malades ont un large risque de présenter une hyper-protidémie que les témoins. N</w:t>
      </w:r>
      <w:r>
        <w:rPr>
          <w:rStyle w:val="Corpsdutexte"/>
          <w:rFonts w:eastAsiaTheme="majorEastAsia"/>
          <w:sz w:val="24"/>
          <w:szCs w:val="24"/>
        </w:rPr>
        <w:t xml:space="preserve">os résultats concordent avec la littérature, la protidémie est significativement plus élevée chez les sujets VHC positifs que chez les sujets sains. Cette hyper-protidémie chez les malades pourrait s’expliquer par une augmentation des gammaglobulines au cours de l’infection par le VHC </w:t>
      </w:r>
      <w:r>
        <w:rPr>
          <w:rFonts w:ascii="Times New Roman" w:hAnsi="Times New Roman" w:cs="Times New Roman"/>
          <w:sz w:val="24"/>
          <w:szCs w:val="24"/>
        </w:rPr>
        <w:t>significative (</w:t>
      </w:r>
      <w:r>
        <w:rPr>
          <w:rFonts w:asciiTheme="majorBidi" w:hAnsiTheme="majorBidi" w:cstheme="majorBidi"/>
          <w:b/>
          <w:bCs/>
          <w:color w:val="000000" w:themeColor="text1"/>
          <w:sz w:val="24"/>
          <w:szCs w:val="24"/>
          <w:shd w:val="clear" w:color="auto" w:fill="FFFFFF"/>
        </w:rPr>
        <w:t>Teeter</w:t>
      </w:r>
      <w:r w:rsidR="006D2195">
        <w:rPr>
          <w:rFonts w:asciiTheme="majorBidi" w:hAnsiTheme="majorBidi" w:cstheme="majorBidi"/>
          <w:b/>
          <w:bCs/>
          <w:color w:val="000000" w:themeColor="text1"/>
          <w:sz w:val="24"/>
          <w:szCs w:val="24"/>
          <w:shd w:val="clear" w:color="auto" w:fill="FFFFFF"/>
        </w:rPr>
        <w:t xml:space="preserve"> </w:t>
      </w:r>
      <w:r w:rsidRPr="00F616D3">
        <w:rPr>
          <w:rFonts w:asciiTheme="majorBidi" w:hAnsiTheme="majorBidi" w:cstheme="majorBidi"/>
          <w:b/>
          <w:bCs/>
          <w:i/>
          <w:iCs/>
          <w:color w:val="000000" w:themeColor="text1"/>
          <w:sz w:val="24"/>
          <w:szCs w:val="24"/>
          <w:shd w:val="clear" w:color="auto" w:fill="FFFFFF"/>
        </w:rPr>
        <w:t>et al</w:t>
      </w:r>
      <w:r>
        <w:rPr>
          <w:rFonts w:asciiTheme="majorBidi" w:hAnsiTheme="majorBidi" w:cstheme="majorBidi"/>
          <w:b/>
          <w:bCs/>
          <w:color w:val="000000" w:themeColor="text1"/>
          <w:sz w:val="24"/>
          <w:szCs w:val="24"/>
          <w:shd w:val="clear" w:color="auto" w:fill="FFFFFF"/>
        </w:rPr>
        <w:t>., 2004</w:t>
      </w:r>
      <w:r>
        <w:rPr>
          <w:rFonts w:ascii="Times New Roman" w:hAnsi="Times New Roman" w:cs="Times New Roman"/>
          <w:b/>
          <w:sz w:val="24"/>
          <w:szCs w:val="24"/>
        </w:rPr>
        <w:t>).</w:t>
      </w:r>
    </w:p>
    <w:p w:rsidR="00E71F00" w:rsidRDefault="00E71F00" w:rsidP="00E71F00">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Passant à l’albumine qui est une protéine, synthétisée par le foie, qui circulant dans le sang. Il est considéré comme un signe important d'insuffisance hépatocellulaire </w:t>
      </w:r>
      <w:r>
        <w:rPr>
          <w:rFonts w:asciiTheme="majorBidi" w:hAnsiTheme="majorBidi" w:cstheme="majorBidi"/>
          <w:b/>
          <w:bCs/>
          <w:color w:val="000000" w:themeColor="text1"/>
          <w:sz w:val="24"/>
          <w:szCs w:val="24"/>
          <w:shd w:val="clear" w:color="auto" w:fill="FFFFFF"/>
        </w:rPr>
        <w:t>Teeter</w:t>
      </w:r>
      <w:r w:rsidR="006D2195">
        <w:rPr>
          <w:rFonts w:asciiTheme="majorBidi" w:hAnsiTheme="majorBidi" w:cstheme="majorBidi"/>
          <w:b/>
          <w:bCs/>
          <w:color w:val="000000" w:themeColor="text1"/>
          <w:sz w:val="24"/>
          <w:szCs w:val="24"/>
          <w:shd w:val="clear" w:color="auto" w:fill="FFFFFF"/>
        </w:rPr>
        <w:t xml:space="preserve"> </w:t>
      </w:r>
      <w:r w:rsidRPr="00F616D3">
        <w:rPr>
          <w:rFonts w:asciiTheme="majorBidi" w:hAnsiTheme="majorBidi" w:cstheme="majorBidi"/>
          <w:b/>
          <w:bCs/>
          <w:i/>
          <w:iCs/>
          <w:color w:val="000000" w:themeColor="text1"/>
          <w:sz w:val="24"/>
          <w:szCs w:val="24"/>
          <w:shd w:val="clear" w:color="auto" w:fill="FFFFFF"/>
        </w:rPr>
        <w:t>et al</w:t>
      </w:r>
      <w:r>
        <w:rPr>
          <w:rFonts w:asciiTheme="majorBidi" w:hAnsiTheme="majorBidi" w:cstheme="majorBidi"/>
          <w:b/>
          <w:bCs/>
          <w:color w:val="000000" w:themeColor="text1"/>
          <w:sz w:val="24"/>
          <w:szCs w:val="24"/>
          <w:shd w:val="clear" w:color="auto" w:fill="FFFFFF"/>
        </w:rPr>
        <w:t>., 2004</w:t>
      </w:r>
      <w:r>
        <w:rPr>
          <w:rFonts w:asciiTheme="majorBidi" w:hAnsiTheme="majorBidi" w:cstheme="majorBidi"/>
          <w:color w:val="000000" w:themeColor="text1"/>
          <w:sz w:val="24"/>
          <w:szCs w:val="24"/>
          <w:shd w:val="clear" w:color="auto" w:fill="FFFFFF"/>
        </w:rPr>
        <w:t xml:space="preserve">. </w:t>
      </w:r>
      <w:r>
        <w:rPr>
          <w:rFonts w:asciiTheme="majorBidi" w:hAnsiTheme="majorBidi" w:cstheme="majorBidi"/>
          <w:sz w:val="24"/>
          <w:szCs w:val="24"/>
        </w:rPr>
        <w:t>Il faut savoir que c'est un signe tardif: quand l'albumine commence à diminuer, le patient a déjà une insuffisance hépatocellulaire importante soit aiguë (hépatite fulminante) soit chronique (cirrhose décompensée) (</w:t>
      </w:r>
      <w:r>
        <w:rPr>
          <w:rFonts w:asciiTheme="majorBidi" w:eastAsia="Times New Roman" w:hAnsiTheme="majorBidi" w:cstheme="majorBidi"/>
          <w:b/>
          <w:bCs/>
          <w:color w:val="000000"/>
          <w:sz w:val="24"/>
          <w:szCs w:val="24"/>
          <w:lang w:eastAsia="fr-FR"/>
        </w:rPr>
        <w:t>Cyrille et Quentin, 2013</w:t>
      </w:r>
      <w:r>
        <w:rPr>
          <w:rFonts w:asciiTheme="majorBidi" w:eastAsia="Times New Roman" w:hAnsiTheme="majorBidi" w:cstheme="majorBidi"/>
          <w:color w:val="000000"/>
          <w:sz w:val="24"/>
          <w:szCs w:val="24"/>
          <w:lang w:eastAsia="fr-FR"/>
        </w:rPr>
        <w:t>)</w:t>
      </w:r>
      <w:r>
        <w:rPr>
          <w:rFonts w:asciiTheme="majorBidi" w:hAnsiTheme="majorBidi" w:cstheme="majorBidi"/>
          <w:sz w:val="24"/>
          <w:szCs w:val="24"/>
        </w:rPr>
        <w:t>. Dans notre étude on a écarté les cas cirrhotiques ce qui peut justifier qu’on n’a pas observée une différence significative dans le taux d’albumine entre les deux groupes (VHC+ et les témoins).</w:t>
      </w:r>
    </w:p>
    <w:p w:rsidR="00E71F00" w:rsidRDefault="00E71F00" w:rsidP="00E71F00">
      <w:pPr>
        <w:autoSpaceDE w:val="0"/>
        <w:autoSpaceDN w:val="0"/>
        <w:adjustRightInd w:val="0"/>
        <w:spacing w:after="0" w:line="360" w:lineRule="auto"/>
        <w:ind w:firstLine="708"/>
        <w:jc w:val="both"/>
        <w:rPr>
          <w:rFonts w:asciiTheme="majorBidi" w:hAnsiTheme="majorBidi" w:cstheme="majorBidi"/>
          <w:sz w:val="24"/>
          <w:szCs w:val="24"/>
        </w:rPr>
      </w:pPr>
    </w:p>
    <w:p w:rsidR="00E71F00" w:rsidRPr="00F616D3" w:rsidRDefault="00E71F00" w:rsidP="00E71F00">
      <w:pPr>
        <w:spacing w:line="360" w:lineRule="auto"/>
        <w:jc w:val="both"/>
        <w:rPr>
          <w:rFonts w:asciiTheme="majorBidi" w:hAnsiTheme="majorBidi" w:cstheme="majorBidi"/>
          <w:b/>
          <w:bCs/>
          <w:i/>
          <w:iCs/>
          <w:color w:val="7030A0"/>
          <w:sz w:val="24"/>
          <w:szCs w:val="24"/>
          <w:shd w:val="clear" w:color="auto" w:fill="FFFFFF"/>
        </w:rPr>
      </w:pPr>
      <w:r w:rsidRPr="00F616D3">
        <w:rPr>
          <w:rFonts w:asciiTheme="majorBidi" w:hAnsiTheme="majorBidi" w:cstheme="majorBidi"/>
          <w:b/>
          <w:bCs/>
          <w:i/>
          <w:iCs/>
          <w:color w:val="7030A0"/>
          <w:sz w:val="24"/>
          <w:szCs w:val="24"/>
          <w:shd w:val="clear" w:color="auto" w:fill="FFFFFF"/>
        </w:rPr>
        <w:t xml:space="preserve">Le bilan lipidique </w:t>
      </w:r>
    </w:p>
    <w:p w:rsidR="00E71F00" w:rsidRDefault="00E71F00" w:rsidP="00E71F00">
      <w:pPr>
        <w:autoSpaceDE w:val="0"/>
        <w:autoSpaceDN w:val="0"/>
        <w:adjustRightInd w:val="0"/>
        <w:spacing w:after="0" w:line="360" w:lineRule="auto"/>
        <w:jc w:val="both"/>
        <w:rPr>
          <w:rFonts w:asciiTheme="majorBidi" w:hAnsiTheme="majorBidi" w:cstheme="majorBidi"/>
          <w:sz w:val="24"/>
          <w:szCs w:val="24"/>
        </w:rPr>
      </w:pPr>
      <w:r>
        <w:rPr>
          <w:rFonts w:asciiTheme="majorBidi" w:eastAsia="Times New Roman" w:hAnsiTheme="majorBidi" w:cstheme="majorBidi"/>
          <w:sz w:val="24"/>
          <w:szCs w:val="24"/>
          <w:lang w:eastAsia="fr-FR"/>
        </w:rPr>
        <w:t>D’après</w:t>
      </w:r>
      <w:r w:rsidR="006D2195">
        <w:rPr>
          <w:rFonts w:asciiTheme="majorBidi" w:eastAsia="Times New Roman" w:hAnsiTheme="majorBidi" w:cstheme="majorBidi"/>
          <w:sz w:val="24"/>
          <w:szCs w:val="24"/>
          <w:lang w:eastAsia="fr-FR"/>
        </w:rPr>
        <w:t xml:space="preserve"> </w:t>
      </w:r>
      <w:hyperlink r:id="rId69" w:history="1">
        <w:r w:rsidRPr="00685F22">
          <w:rPr>
            <w:rStyle w:val="Lienhypertexte"/>
            <w:rFonts w:asciiTheme="majorBidi" w:hAnsiTheme="majorBidi" w:cstheme="majorBidi"/>
            <w:b/>
            <w:bCs/>
            <w:color w:val="auto"/>
            <w:sz w:val="24"/>
            <w:szCs w:val="24"/>
            <w:u w:val="none"/>
            <w:lang w:eastAsia="fr-FR"/>
          </w:rPr>
          <w:t>Sassolas</w:t>
        </w:r>
      </w:hyperlink>
      <w:r w:rsidRPr="00685F22">
        <w:rPr>
          <w:rFonts w:asciiTheme="majorBidi" w:eastAsia="Times New Roman" w:hAnsiTheme="majorBidi" w:cstheme="majorBidi"/>
          <w:b/>
          <w:bCs/>
          <w:i/>
          <w:iCs/>
          <w:sz w:val="24"/>
          <w:szCs w:val="24"/>
          <w:lang w:eastAsia="fr-FR"/>
        </w:rPr>
        <w:t>et</w:t>
      </w:r>
      <w:r w:rsidR="00685F22" w:rsidRPr="00685F22">
        <w:rPr>
          <w:rFonts w:asciiTheme="majorBidi" w:eastAsia="Times New Roman" w:hAnsiTheme="majorBidi" w:cstheme="majorBidi"/>
          <w:b/>
          <w:bCs/>
          <w:i/>
          <w:iCs/>
          <w:sz w:val="24"/>
          <w:szCs w:val="24"/>
          <w:lang w:eastAsia="fr-FR"/>
        </w:rPr>
        <w:t xml:space="preserve"> al</w:t>
      </w:r>
      <w:r w:rsidR="006D2195">
        <w:rPr>
          <w:rFonts w:asciiTheme="majorBidi" w:eastAsia="Times New Roman" w:hAnsiTheme="majorBidi" w:cstheme="majorBidi"/>
          <w:b/>
          <w:bCs/>
          <w:sz w:val="24"/>
          <w:szCs w:val="24"/>
          <w:lang w:eastAsia="fr-FR"/>
        </w:rPr>
        <w:t>.,</w:t>
      </w:r>
      <w:r w:rsidRPr="00F616D3">
        <w:rPr>
          <w:rFonts w:asciiTheme="majorBidi" w:eastAsia="Times New Roman" w:hAnsiTheme="majorBidi" w:cstheme="majorBidi"/>
          <w:b/>
          <w:bCs/>
          <w:sz w:val="24"/>
          <w:szCs w:val="24"/>
          <w:lang w:eastAsia="fr-FR"/>
        </w:rPr>
        <w:t xml:space="preserve"> 1999</w:t>
      </w:r>
      <w:r>
        <w:rPr>
          <w:rFonts w:asciiTheme="majorBidi" w:eastAsia="Times New Roman" w:hAnsiTheme="majorBidi" w:cstheme="majorBidi"/>
          <w:sz w:val="24"/>
          <w:szCs w:val="24"/>
          <w:lang w:eastAsia="fr-FR"/>
        </w:rPr>
        <w:t xml:space="preserve">, </w:t>
      </w:r>
      <w:r>
        <w:rPr>
          <w:rFonts w:asciiTheme="majorBidi" w:hAnsiTheme="majorBidi" w:cstheme="majorBidi"/>
          <w:sz w:val="24"/>
          <w:szCs w:val="24"/>
        </w:rPr>
        <w:t xml:space="preserve">le cholestérol synthétisé dans le foie s'associe aux apolipoprotéines pour être sécrété et transporté sous forme d'HDL ou de VLDL. La diminution de synthèse de l’enzyme responsable de l’estérification du cholestérol libre des lipoprotéines plasmatique la LCAT ( lécithine cholestérol acyltransférase ), la réduction ou l'absence de synthèse des apolipoprotéines A1 ou B ou leur hyper catabolisme au cours d’une infection par les hépatites virales, entraînent des hypocholestérolémies sévères, et </w:t>
      </w:r>
      <w:r>
        <w:rPr>
          <w:rStyle w:val="textenormal"/>
          <w:rFonts w:asciiTheme="majorBidi" w:hAnsiTheme="majorBidi" w:cstheme="majorBidi"/>
          <w:sz w:val="24"/>
          <w:szCs w:val="24"/>
        </w:rPr>
        <w:t>induit une stéatose virale, probablement par inhibition de la  MTP (Microsomal Triglyceride Transfer Protein) entraînant une diminution de la sécrétion de  VLDL (VeryLowDensityLipoprotein) et une accumulation de triglycérides dans les hépatocytes</w:t>
      </w:r>
      <w:r>
        <w:rPr>
          <w:rFonts w:asciiTheme="majorBidi" w:hAnsiTheme="majorBidi" w:cstheme="majorBidi"/>
          <w:sz w:val="24"/>
          <w:szCs w:val="24"/>
        </w:rPr>
        <w:t xml:space="preserve"> (</w:t>
      </w:r>
      <w:r>
        <w:rPr>
          <w:rFonts w:asciiTheme="majorBidi" w:hAnsiTheme="majorBidi" w:cstheme="majorBidi"/>
          <w:b/>
          <w:bCs/>
          <w:sz w:val="24"/>
          <w:szCs w:val="24"/>
        </w:rPr>
        <w:t>Moucari</w:t>
      </w:r>
      <w:r>
        <w:rPr>
          <w:rFonts w:asciiTheme="majorBidi" w:hAnsiTheme="majorBidi" w:cstheme="majorBidi"/>
          <w:b/>
          <w:bCs/>
          <w:sz w:val="24"/>
          <w:szCs w:val="24"/>
          <w:vertAlign w:val="superscript"/>
        </w:rPr>
        <w:t xml:space="preserve">  </w:t>
      </w:r>
      <w:r>
        <w:rPr>
          <w:rFonts w:asciiTheme="majorBidi" w:hAnsiTheme="majorBidi" w:cstheme="majorBidi"/>
          <w:b/>
          <w:bCs/>
          <w:i/>
          <w:iCs/>
          <w:sz w:val="24"/>
          <w:szCs w:val="24"/>
        </w:rPr>
        <w:t>et al</w:t>
      </w:r>
      <w:r>
        <w:rPr>
          <w:rFonts w:asciiTheme="majorBidi" w:hAnsiTheme="majorBidi" w:cstheme="majorBidi"/>
          <w:b/>
          <w:bCs/>
          <w:sz w:val="24"/>
          <w:szCs w:val="24"/>
        </w:rPr>
        <w:t>., 2007)</w:t>
      </w:r>
      <w:r>
        <w:rPr>
          <w:rStyle w:val="textenormal"/>
          <w:rFonts w:asciiTheme="majorBidi" w:hAnsiTheme="majorBidi" w:cstheme="majorBidi"/>
          <w:sz w:val="24"/>
          <w:szCs w:val="24"/>
        </w:rPr>
        <w:t>.</w:t>
      </w:r>
      <w:r>
        <w:rPr>
          <w:rFonts w:asciiTheme="majorBidi" w:hAnsiTheme="majorBidi" w:cstheme="majorBidi"/>
          <w:sz w:val="24"/>
          <w:szCs w:val="24"/>
        </w:rPr>
        <w:t xml:space="preserve"> Une autre étude réalisée par </w:t>
      </w:r>
      <w:r w:rsidRPr="00383A21">
        <w:rPr>
          <w:rFonts w:ascii="Times New Roman" w:hAnsi="Times New Roman" w:cs="Times New Roman"/>
          <w:b/>
          <w:bCs/>
          <w:sz w:val="24"/>
          <w:szCs w:val="24"/>
        </w:rPr>
        <w:t xml:space="preserve">SunovionPharmaceuticals Canada </w:t>
      </w:r>
      <w:r>
        <w:rPr>
          <w:rFonts w:asciiTheme="majorBidi" w:hAnsiTheme="majorBidi" w:cstheme="majorBidi"/>
          <w:sz w:val="24"/>
          <w:szCs w:val="24"/>
        </w:rPr>
        <w:t>montre que la diminution des taux d’LDL pourrait provenir de la baisse de production des VLDL, car les VLDL vont subir la digestion des triglycérides par la LPL et vont donner du IDL qui sera recyclé dans le foie (via LRP) ou bien qui continuera à être digéré par la LH ou LDH vérifier  jusqu’à donner un produit terminal : le LDL.</w:t>
      </w:r>
    </w:p>
    <w:p w:rsidR="00E71F00" w:rsidRDefault="00E71F00" w:rsidP="00E71F00">
      <w:pPr>
        <w:autoSpaceDE w:val="0"/>
        <w:autoSpaceDN w:val="0"/>
        <w:adjustRightInd w:val="0"/>
        <w:spacing w:after="0" w:line="240" w:lineRule="auto"/>
        <w:rPr>
          <w:rFonts w:ascii="Times New Roman" w:hAnsi="Times New Roman" w:cs="Times New Roman"/>
          <w:sz w:val="24"/>
          <w:szCs w:val="24"/>
        </w:rPr>
      </w:pPr>
    </w:p>
    <w:p w:rsidR="00E71F00" w:rsidRDefault="00E71F00" w:rsidP="00E71F00">
      <w:pPr>
        <w:spacing w:line="360" w:lineRule="auto"/>
        <w:ind w:firstLine="708"/>
        <w:jc w:val="both"/>
        <w:rPr>
          <w:rFonts w:asciiTheme="majorBidi" w:hAnsiTheme="majorBidi" w:cstheme="majorBidi"/>
          <w:sz w:val="24"/>
          <w:szCs w:val="24"/>
        </w:rPr>
      </w:pPr>
      <w:r>
        <w:rPr>
          <w:rFonts w:asciiTheme="majorBidi" w:hAnsiTheme="majorBidi" w:cstheme="majorBidi"/>
          <w:color w:val="000000" w:themeColor="text1"/>
          <w:sz w:val="24"/>
          <w:szCs w:val="24"/>
          <w:shd w:val="clear" w:color="auto" w:fill="FFFFFF"/>
        </w:rPr>
        <w:lastRenderedPageBreak/>
        <w:t xml:space="preserve">Dans notre étude on observe une </w:t>
      </w:r>
      <w:r>
        <w:rPr>
          <w:rFonts w:asciiTheme="majorBidi" w:hAnsiTheme="majorBidi" w:cstheme="majorBidi"/>
          <w:sz w:val="24"/>
          <w:szCs w:val="24"/>
        </w:rPr>
        <w:t>diminution significative des taux du cholestérol  et du LDL chez les patients atteints du VHC. En revanche, il n’existe pas une différence significative des concentrations du HDL et des triglycérides entre le groupe VHC</w:t>
      </w:r>
      <w:r>
        <w:rPr>
          <w:rFonts w:asciiTheme="majorBidi" w:hAnsiTheme="majorBidi" w:cstheme="majorBidi"/>
          <w:sz w:val="24"/>
          <w:szCs w:val="24"/>
          <w:vertAlign w:val="superscript"/>
        </w:rPr>
        <w:t>+</w:t>
      </w:r>
      <w:r>
        <w:rPr>
          <w:rFonts w:asciiTheme="majorBidi" w:hAnsiTheme="majorBidi" w:cstheme="majorBidi"/>
          <w:sz w:val="24"/>
          <w:szCs w:val="24"/>
        </w:rPr>
        <w:t xml:space="preserve"> et  le groupe VHC</w:t>
      </w:r>
      <w:r>
        <w:rPr>
          <w:rFonts w:asciiTheme="majorBidi" w:hAnsiTheme="majorBidi" w:cstheme="majorBidi"/>
          <w:sz w:val="24"/>
          <w:szCs w:val="24"/>
          <w:vertAlign w:val="superscript"/>
        </w:rPr>
        <w:t>-</w:t>
      </w:r>
      <w:r>
        <w:rPr>
          <w:rFonts w:asciiTheme="majorBidi" w:hAnsiTheme="majorBidi" w:cstheme="majorBidi"/>
          <w:sz w:val="24"/>
          <w:szCs w:val="24"/>
        </w:rPr>
        <w:t xml:space="preserve">. Une étude taïwanaise cas- témoins par </w:t>
      </w:r>
      <w:r>
        <w:rPr>
          <w:rFonts w:asciiTheme="majorBidi" w:hAnsiTheme="majorBidi" w:cstheme="majorBidi"/>
          <w:b/>
          <w:bCs/>
          <w:sz w:val="24"/>
          <w:szCs w:val="24"/>
        </w:rPr>
        <w:t xml:space="preserve">Hsu </w:t>
      </w:r>
      <w:r>
        <w:rPr>
          <w:rFonts w:asciiTheme="majorBidi" w:hAnsiTheme="majorBidi" w:cstheme="majorBidi"/>
          <w:b/>
          <w:bCs/>
          <w:i/>
          <w:iCs/>
          <w:sz w:val="24"/>
          <w:szCs w:val="24"/>
        </w:rPr>
        <w:t>et al</w:t>
      </w:r>
      <w:r>
        <w:rPr>
          <w:rFonts w:asciiTheme="majorBidi" w:hAnsiTheme="majorBidi" w:cstheme="majorBidi"/>
          <w:b/>
          <w:bCs/>
          <w:sz w:val="24"/>
          <w:szCs w:val="24"/>
        </w:rPr>
        <w:t xml:space="preserve">., 2008 </w:t>
      </w:r>
      <w:r>
        <w:rPr>
          <w:rFonts w:asciiTheme="majorBidi" w:hAnsiTheme="majorBidi" w:cstheme="majorBidi"/>
          <w:sz w:val="24"/>
          <w:szCs w:val="24"/>
        </w:rPr>
        <w:t xml:space="preserve">a montré que l’infection par le VHC était associée à des taux bas de Cholestérol, LDL, TG et à un taux élevé d’HDL. Une autre étude sur le profil de risque cardio-vasculaire au cours de l’hépatite chronique C chez une population de 765 patients en Egypte réalisé par </w:t>
      </w:r>
      <w:r>
        <w:rPr>
          <w:rFonts w:asciiTheme="majorBidi" w:hAnsiTheme="majorBidi" w:cstheme="majorBidi"/>
          <w:b/>
          <w:bCs/>
          <w:sz w:val="24"/>
          <w:szCs w:val="24"/>
        </w:rPr>
        <w:t xml:space="preserve">Marzouk </w:t>
      </w:r>
      <w:r>
        <w:rPr>
          <w:rFonts w:asciiTheme="majorBidi" w:hAnsiTheme="majorBidi" w:cstheme="majorBidi"/>
          <w:b/>
          <w:bCs/>
          <w:i/>
          <w:iCs/>
          <w:sz w:val="24"/>
          <w:szCs w:val="24"/>
        </w:rPr>
        <w:t>et al</w:t>
      </w:r>
      <w:r>
        <w:rPr>
          <w:rFonts w:asciiTheme="majorBidi" w:hAnsiTheme="majorBidi" w:cstheme="majorBidi"/>
          <w:b/>
          <w:bCs/>
          <w:sz w:val="24"/>
          <w:szCs w:val="24"/>
        </w:rPr>
        <w:t>., 2007</w:t>
      </w:r>
      <w:r>
        <w:rPr>
          <w:rFonts w:asciiTheme="majorBidi" w:hAnsiTheme="majorBidi" w:cstheme="majorBidi"/>
          <w:sz w:val="24"/>
          <w:szCs w:val="24"/>
        </w:rPr>
        <w:t xml:space="preserve"> suggère une diminution des taux de cholestérol, de triglycéride et des LDL chez les patients par rapport aux témoins sains. Nos résultats sont corrélés pour le cholestérol et le LDL.</w:t>
      </w:r>
    </w:p>
    <w:p w:rsidR="00E71F00" w:rsidRDefault="00E71F00" w:rsidP="00E71F00">
      <w:pPr>
        <w:spacing w:line="360" w:lineRule="auto"/>
        <w:ind w:firstLine="708"/>
        <w:jc w:val="both"/>
        <w:rPr>
          <w:rFonts w:asciiTheme="majorBidi" w:hAnsiTheme="majorBidi" w:cstheme="majorBidi"/>
          <w:color w:val="FF0000"/>
          <w:sz w:val="24"/>
          <w:szCs w:val="24"/>
          <w:shd w:val="clear" w:color="auto" w:fill="FFFFFF"/>
        </w:rPr>
      </w:pPr>
      <w:r>
        <w:rPr>
          <w:rFonts w:asciiTheme="majorBidi" w:hAnsiTheme="majorBidi" w:cstheme="majorBidi"/>
          <w:sz w:val="24"/>
          <w:szCs w:val="24"/>
          <w:shd w:val="clear" w:color="auto" w:fill="FFFFFF"/>
        </w:rPr>
        <w:t>Bien que l’étude de la corrélation entre les paramètres lipidiques influencés par l’infection du VHC et les différents stades de fibrose n’étaient pas significative mais une diminution de ces paramètres dans les stades avancés de la fibrose a été constatée. Nos</w:t>
      </w:r>
      <w:r w:rsidR="006D2195">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résultats se concordent avec les résultats de</w:t>
      </w:r>
      <w:r w:rsidR="006D2195">
        <w:rPr>
          <w:rFonts w:asciiTheme="majorBidi" w:hAnsiTheme="majorBidi" w:cstheme="majorBidi"/>
          <w:sz w:val="24"/>
          <w:szCs w:val="24"/>
          <w:shd w:val="clear" w:color="auto" w:fill="FFFFFF"/>
        </w:rPr>
        <w:t xml:space="preserve"> </w:t>
      </w:r>
      <w:r>
        <w:rPr>
          <w:rFonts w:asciiTheme="majorBidi" w:hAnsiTheme="majorBidi" w:cstheme="majorBidi"/>
          <w:b/>
          <w:bCs/>
          <w:sz w:val="24"/>
          <w:szCs w:val="24"/>
          <w:shd w:val="clear" w:color="auto" w:fill="FFFFFF"/>
        </w:rPr>
        <w:t>(Benbria, 2010).</w:t>
      </w:r>
    </w:p>
    <w:p w:rsidR="00E71F00" w:rsidRDefault="00E71F00" w:rsidP="00E71F00">
      <w:pPr>
        <w:autoSpaceDE w:val="0"/>
        <w:autoSpaceDN w:val="0"/>
        <w:adjustRightInd w:val="0"/>
        <w:spacing w:after="0" w:line="360" w:lineRule="auto"/>
        <w:ind w:firstLine="708"/>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Donc il y a une association significative entre l’infection par le VHC et les troubles du métabolisme lipidique</w:t>
      </w:r>
      <w:r>
        <w:rPr>
          <w:rFonts w:asciiTheme="majorBidi" w:hAnsiTheme="majorBidi" w:cstheme="majorBidi"/>
          <w:sz w:val="24"/>
          <w:szCs w:val="24"/>
        </w:rPr>
        <w:t xml:space="preserve">. </w:t>
      </w:r>
      <w:r>
        <w:rPr>
          <w:rFonts w:asciiTheme="majorBidi" w:hAnsiTheme="majorBidi" w:cstheme="majorBidi"/>
          <w:color w:val="000000" w:themeColor="text1"/>
          <w:sz w:val="24"/>
          <w:szCs w:val="24"/>
          <w:shd w:val="clear" w:color="auto" w:fill="FFFFFF"/>
        </w:rPr>
        <w:t xml:space="preserve">Une preuve d’un rôle direct du VHC dans les perturbations provient des modèles animaux utilisant les protéines virales VHC. On pense que les protéines de la capside </w:t>
      </w:r>
      <w:r>
        <w:rPr>
          <w:rFonts w:asciiTheme="majorBidi" w:hAnsiTheme="majorBidi" w:cstheme="majorBidi"/>
          <w:sz w:val="24"/>
          <w:szCs w:val="24"/>
        </w:rPr>
        <w:t xml:space="preserve">modulent  les voies du  métabolisme </w:t>
      </w:r>
      <w:r>
        <w:rPr>
          <w:rFonts w:asciiTheme="majorBidi" w:hAnsiTheme="majorBidi" w:cstheme="majorBidi"/>
          <w:color w:val="000000" w:themeColor="text1"/>
          <w:sz w:val="24"/>
          <w:szCs w:val="24"/>
          <w:shd w:val="clear" w:color="auto" w:fill="FFFFFF"/>
        </w:rPr>
        <w:t>des lipoprotéines (</w:t>
      </w:r>
      <w:r>
        <w:rPr>
          <w:rFonts w:asciiTheme="majorBidi" w:hAnsiTheme="majorBidi" w:cstheme="majorBidi"/>
          <w:b/>
          <w:bCs/>
          <w:sz w:val="24"/>
          <w:szCs w:val="24"/>
        </w:rPr>
        <w:t>Perlemuter</w:t>
      </w:r>
      <w:r>
        <w:rPr>
          <w:rFonts w:asciiTheme="majorBidi" w:hAnsiTheme="majorBidi" w:cstheme="majorBidi"/>
          <w:b/>
          <w:bCs/>
          <w:i/>
          <w:iCs/>
          <w:sz w:val="24"/>
          <w:szCs w:val="24"/>
        </w:rPr>
        <w:t>et al</w:t>
      </w:r>
      <w:r>
        <w:rPr>
          <w:rFonts w:asciiTheme="majorBidi" w:hAnsiTheme="majorBidi" w:cstheme="majorBidi"/>
          <w:b/>
          <w:bCs/>
          <w:sz w:val="24"/>
          <w:szCs w:val="24"/>
        </w:rPr>
        <w:t>., 2000</w:t>
      </w:r>
      <w:r>
        <w:rPr>
          <w:rFonts w:asciiTheme="majorBidi" w:hAnsiTheme="majorBidi" w:cstheme="majorBidi"/>
          <w:sz w:val="24"/>
          <w:szCs w:val="24"/>
        </w:rPr>
        <w:t>).</w:t>
      </w:r>
    </w:p>
    <w:p w:rsidR="00E71F00" w:rsidRDefault="00E71F00" w:rsidP="00E71F00">
      <w:pPr>
        <w:spacing w:line="360" w:lineRule="auto"/>
        <w:ind w:firstLine="708"/>
        <w:jc w:val="both"/>
        <w:rPr>
          <w:rFonts w:asciiTheme="majorBidi" w:hAnsiTheme="majorBidi" w:cstheme="majorBidi"/>
          <w:color w:val="7030A0"/>
          <w:sz w:val="24"/>
          <w:szCs w:val="24"/>
          <w:shd w:val="clear" w:color="auto" w:fill="FFFFFF"/>
        </w:rPr>
      </w:pPr>
    </w:p>
    <w:p w:rsidR="00E71F00" w:rsidRDefault="00E71F00" w:rsidP="00E71F00">
      <w:pPr>
        <w:spacing w:after="0" w:line="360" w:lineRule="auto"/>
        <w:jc w:val="both"/>
        <w:rPr>
          <w:rFonts w:asciiTheme="majorBidi" w:eastAsia="Times New Roman" w:hAnsiTheme="majorBidi" w:cstheme="majorBidi"/>
          <w:b/>
          <w:bCs/>
          <w:color w:val="7030A0"/>
          <w:sz w:val="24"/>
          <w:szCs w:val="24"/>
          <w:lang w:eastAsia="fr-FR"/>
        </w:rPr>
      </w:pPr>
    </w:p>
    <w:p w:rsidR="00E71F00" w:rsidRDefault="00E71F00" w:rsidP="00E71F00">
      <w:pPr>
        <w:spacing w:after="0" w:line="360" w:lineRule="auto"/>
        <w:jc w:val="both"/>
        <w:rPr>
          <w:rFonts w:asciiTheme="majorBidi" w:eastAsia="Times New Roman" w:hAnsiTheme="majorBidi" w:cstheme="majorBidi"/>
          <w:b/>
          <w:bCs/>
          <w:color w:val="7030A0"/>
          <w:sz w:val="24"/>
          <w:szCs w:val="24"/>
          <w:lang w:eastAsia="fr-FR"/>
        </w:rPr>
      </w:pPr>
    </w:p>
    <w:p w:rsidR="00E71F00" w:rsidRPr="0033414C" w:rsidRDefault="00E71F00" w:rsidP="00E71F00">
      <w:pPr>
        <w:autoSpaceDE w:val="0"/>
        <w:autoSpaceDN w:val="0"/>
        <w:adjustRightInd w:val="0"/>
        <w:spacing w:after="0" w:line="360" w:lineRule="auto"/>
        <w:ind w:firstLine="708"/>
        <w:jc w:val="both"/>
        <w:rPr>
          <w:rFonts w:asciiTheme="majorBidi" w:hAnsiTheme="majorBidi" w:cstheme="majorBidi"/>
          <w:sz w:val="24"/>
          <w:szCs w:val="24"/>
        </w:rPr>
      </w:pPr>
    </w:p>
    <w:p w:rsidR="00E71F00" w:rsidRDefault="00E71F00" w:rsidP="00E71F00"/>
    <w:p w:rsidR="007F3B1A" w:rsidRDefault="007F3B1A">
      <w:pPr>
        <w:spacing w:after="200" w:line="276" w:lineRule="auto"/>
        <w:rPr>
          <w:rFonts w:asciiTheme="majorBidi" w:hAnsiTheme="majorBidi" w:cstheme="majorBidi"/>
          <w:b/>
          <w:bCs/>
          <w:color w:val="7030A0"/>
          <w:sz w:val="48"/>
          <w:szCs w:val="48"/>
        </w:rPr>
        <w:sectPr w:rsidR="007F3B1A" w:rsidSect="007F3B1A">
          <w:headerReference w:type="default" r:id="rId70"/>
          <w:footerReference w:type="default" r:id="rId71"/>
          <w:pgSz w:w="11906" w:h="16838"/>
          <w:pgMar w:top="1134" w:right="1134" w:bottom="1134" w:left="1418" w:header="397" w:footer="680" w:gutter="0"/>
          <w:pgNumType w:start="52"/>
          <w:cols w:space="708"/>
          <w:docGrid w:linePitch="360"/>
        </w:sectPr>
      </w:pPr>
    </w:p>
    <w:p w:rsidR="005B5AC0" w:rsidRPr="00E71F00" w:rsidRDefault="005B5AC0">
      <w:pPr>
        <w:spacing w:after="200" w:line="276" w:lineRule="auto"/>
        <w:rPr>
          <w:rFonts w:asciiTheme="majorBidi" w:hAnsiTheme="majorBidi" w:cstheme="majorBidi"/>
          <w:b/>
          <w:bCs/>
          <w:color w:val="7030A0"/>
          <w:sz w:val="48"/>
          <w:szCs w:val="48"/>
        </w:rPr>
      </w:pPr>
    </w:p>
    <w:p w:rsidR="00E158C9" w:rsidRDefault="00E158C9">
      <w:pPr>
        <w:spacing w:after="200" w:line="276" w:lineRule="auto"/>
        <w:rPr>
          <w:rFonts w:asciiTheme="majorBidi" w:hAnsiTheme="majorBidi" w:cstheme="majorBidi"/>
          <w:b/>
          <w:bCs/>
          <w:i/>
          <w:iCs/>
          <w:color w:val="7030A0"/>
          <w:sz w:val="72"/>
          <w:szCs w:val="72"/>
        </w:rPr>
      </w:pPr>
    </w:p>
    <w:p w:rsidR="00E158C9" w:rsidRDefault="00E158C9" w:rsidP="00C91FA9">
      <w:pPr>
        <w:spacing w:line="360" w:lineRule="auto"/>
        <w:ind w:firstLine="708"/>
        <w:jc w:val="center"/>
        <w:rPr>
          <w:rFonts w:asciiTheme="majorBidi" w:hAnsiTheme="majorBidi" w:cstheme="majorBidi"/>
          <w:b/>
          <w:bCs/>
          <w:i/>
          <w:iCs/>
          <w:color w:val="7030A0"/>
          <w:sz w:val="72"/>
          <w:szCs w:val="72"/>
        </w:rPr>
      </w:pPr>
    </w:p>
    <w:p w:rsidR="00E158C9" w:rsidRDefault="00E158C9" w:rsidP="00E158C9">
      <w:pPr>
        <w:spacing w:after="200" w:line="276" w:lineRule="auto"/>
        <w:rPr>
          <w:rFonts w:asciiTheme="majorBidi" w:hAnsiTheme="majorBidi" w:cstheme="majorBidi"/>
          <w:b/>
          <w:bCs/>
          <w:color w:val="7030A0"/>
          <w:sz w:val="56"/>
          <w:szCs w:val="56"/>
        </w:rPr>
      </w:pPr>
    </w:p>
    <w:p w:rsidR="00E158C9" w:rsidRDefault="00E158C9" w:rsidP="00E158C9">
      <w:pPr>
        <w:spacing w:after="200" w:line="276" w:lineRule="auto"/>
        <w:rPr>
          <w:rFonts w:asciiTheme="majorBidi" w:hAnsiTheme="majorBidi" w:cstheme="majorBidi"/>
          <w:b/>
          <w:bCs/>
          <w:color w:val="7030A0"/>
          <w:sz w:val="56"/>
          <w:szCs w:val="56"/>
        </w:rPr>
      </w:pPr>
    </w:p>
    <w:p w:rsidR="00E158C9" w:rsidRPr="00E158C9" w:rsidRDefault="00E158C9" w:rsidP="006D2195">
      <w:pPr>
        <w:spacing w:after="200" w:line="276" w:lineRule="auto"/>
        <w:jc w:val="center"/>
        <w:rPr>
          <w:rFonts w:asciiTheme="majorBidi" w:hAnsiTheme="majorBidi" w:cstheme="majorBidi"/>
          <w:b/>
          <w:bCs/>
          <w:color w:val="7030A0"/>
          <w:sz w:val="56"/>
          <w:szCs w:val="56"/>
        </w:rPr>
      </w:pPr>
      <w:r w:rsidRPr="00E158C9">
        <w:rPr>
          <w:rFonts w:asciiTheme="majorBidi" w:hAnsiTheme="majorBidi" w:cstheme="majorBidi"/>
          <w:b/>
          <w:bCs/>
          <w:i/>
          <w:iCs/>
          <w:color w:val="7030A0"/>
          <w:sz w:val="72"/>
          <w:szCs w:val="72"/>
        </w:rPr>
        <w:t>Conclusion</w:t>
      </w:r>
    </w:p>
    <w:p w:rsidR="00E158C9" w:rsidRDefault="00E158C9" w:rsidP="00E158C9">
      <w:pPr>
        <w:spacing w:line="360" w:lineRule="auto"/>
        <w:ind w:firstLine="708"/>
        <w:rPr>
          <w:rFonts w:asciiTheme="majorBidi" w:hAnsiTheme="majorBidi" w:cstheme="majorBidi"/>
          <w:b/>
          <w:bCs/>
          <w:i/>
          <w:iCs/>
          <w:color w:val="7030A0"/>
          <w:sz w:val="72"/>
          <w:szCs w:val="72"/>
        </w:rPr>
      </w:pPr>
    </w:p>
    <w:p w:rsidR="00532E6D" w:rsidRDefault="00E158C9">
      <w:pPr>
        <w:spacing w:after="200" w:line="276" w:lineRule="auto"/>
        <w:rPr>
          <w:rFonts w:asciiTheme="majorBidi" w:hAnsiTheme="majorBidi" w:cstheme="majorBidi"/>
          <w:b/>
          <w:bCs/>
          <w:i/>
          <w:iCs/>
          <w:color w:val="7030A0"/>
          <w:sz w:val="72"/>
          <w:szCs w:val="72"/>
        </w:rPr>
        <w:sectPr w:rsidR="00532E6D" w:rsidSect="00C91FA9">
          <w:headerReference w:type="default" r:id="rId72"/>
          <w:footerReference w:type="default" r:id="rId73"/>
          <w:pgSz w:w="11906" w:h="16838"/>
          <w:pgMar w:top="1134" w:right="1134" w:bottom="1134" w:left="1418" w:header="397" w:footer="680" w:gutter="0"/>
          <w:pgNumType w:start="42"/>
          <w:cols w:space="708"/>
          <w:docGrid w:linePitch="360"/>
        </w:sectPr>
      </w:pPr>
      <w:r>
        <w:rPr>
          <w:rFonts w:asciiTheme="majorBidi" w:hAnsiTheme="majorBidi" w:cstheme="majorBidi"/>
          <w:b/>
          <w:bCs/>
          <w:i/>
          <w:iCs/>
          <w:color w:val="7030A0"/>
          <w:sz w:val="72"/>
          <w:szCs w:val="72"/>
        </w:rPr>
        <w:br w:type="page"/>
      </w:r>
    </w:p>
    <w:p w:rsidR="00E158C9" w:rsidRDefault="00E158C9">
      <w:pPr>
        <w:spacing w:after="200" w:line="276" w:lineRule="auto"/>
        <w:rPr>
          <w:rFonts w:asciiTheme="majorBidi" w:hAnsiTheme="majorBidi" w:cstheme="majorBidi"/>
          <w:b/>
          <w:bCs/>
          <w:i/>
          <w:iCs/>
          <w:color w:val="7030A0"/>
          <w:sz w:val="72"/>
          <w:szCs w:val="72"/>
        </w:rPr>
      </w:pPr>
    </w:p>
    <w:p w:rsidR="005B5AC0" w:rsidRPr="005B5AC0" w:rsidRDefault="005B5AC0" w:rsidP="005B5AC0">
      <w:pPr>
        <w:spacing w:after="200" w:line="360" w:lineRule="auto"/>
        <w:jc w:val="center"/>
        <w:rPr>
          <w:rFonts w:asciiTheme="majorBidi" w:eastAsia="Times New Roman" w:hAnsiTheme="majorBidi" w:cs="Times New Roman"/>
          <w:b/>
          <w:i/>
          <w:iCs/>
          <w:color w:val="7030A0"/>
          <w:sz w:val="40"/>
          <w:szCs w:val="40"/>
        </w:rPr>
      </w:pPr>
      <w:r w:rsidRPr="005B5AC0">
        <w:rPr>
          <w:rFonts w:asciiTheme="majorBidi" w:eastAsia="Times New Roman" w:hAnsiTheme="majorBidi" w:cs="Times New Roman"/>
          <w:b/>
          <w:i/>
          <w:iCs/>
          <w:color w:val="7030A0"/>
          <w:sz w:val="40"/>
          <w:szCs w:val="40"/>
        </w:rPr>
        <w:t>Conclusion</w:t>
      </w:r>
    </w:p>
    <w:p w:rsidR="005B5AC0" w:rsidRPr="005B5AC0" w:rsidRDefault="005B5AC0" w:rsidP="005B5AC0">
      <w:pPr>
        <w:spacing w:after="200" w:line="360" w:lineRule="auto"/>
        <w:jc w:val="both"/>
        <w:rPr>
          <w:rFonts w:asciiTheme="majorBidi" w:eastAsia="Times New Roman" w:hAnsiTheme="majorBidi" w:cs="Times New Roman"/>
          <w:bCs/>
          <w:sz w:val="24"/>
          <w:szCs w:val="24"/>
        </w:rPr>
      </w:pPr>
    </w:p>
    <w:p w:rsidR="005B5AC0" w:rsidRPr="005B5AC0" w:rsidRDefault="005B5AC0" w:rsidP="005B5AC0">
      <w:pPr>
        <w:spacing w:after="200" w:line="360" w:lineRule="auto"/>
        <w:ind w:firstLine="708"/>
        <w:jc w:val="both"/>
        <w:rPr>
          <w:rFonts w:asciiTheme="majorBidi" w:eastAsia="Times New Roman" w:hAnsiTheme="majorBidi" w:cs="Times New Roman"/>
          <w:bCs/>
          <w:sz w:val="24"/>
          <w:szCs w:val="24"/>
        </w:rPr>
      </w:pPr>
      <w:r w:rsidRPr="005B5AC0">
        <w:rPr>
          <w:rFonts w:asciiTheme="majorBidi" w:eastAsia="Times New Roman" w:hAnsiTheme="majorBidi" w:cs="Times New Roman"/>
          <w:bCs/>
          <w:sz w:val="24"/>
          <w:szCs w:val="24"/>
        </w:rPr>
        <w:t>L’infection par le virus de l’hépatite C (VHC) constitue à l’heure actuelle un problème de santé publique mondiale. L’infection chronique par le VHC a pour conséquence le développement d’une hépatopathie chronique sévère et l’apparition des complications métaboliques.</w:t>
      </w:r>
    </w:p>
    <w:p w:rsidR="005B5AC0" w:rsidRPr="005B5AC0" w:rsidRDefault="005B5AC0" w:rsidP="005B5AC0">
      <w:pPr>
        <w:spacing w:after="200" w:line="360" w:lineRule="auto"/>
        <w:ind w:firstLine="708"/>
        <w:jc w:val="both"/>
        <w:rPr>
          <w:rFonts w:asciiTheme="majorBidi" w:eastAsia="Times New Roman" w:hAnsiTheme="majorBidi" w:cs="Times New Roman"/>
          <w:bCs/>
          <w:sz w:val="24"/>
          <w:szCs w:val="24"/>
        </w:rPr>
      </w:pPr>
      <w:r w:rsidRPr="005B5AC0">
        <w:rPr>
          <w:rFonts w:asciiTheme="majorBidi" w:eastAsia="Times New Roman" w:hAnsiTheme="majorBidi" w:cs="Times New Roman"/>
          <w:bCs/>
          <w:sz w:val="24"/>
          <w:szCs w:val="24"/>
        </w:rPr>
        <w:t>Au cours de ce travail, nous avons étudié les perturbations du profil lipidique au cours de l’infection par le virus de l’hépatite C chronique chez les patients de notre région (Tébessa). La comparaison du groupe malade avec un groupe témoin a montré l’existence des différences significatives dans les taux de cholestérol et des LDL. Ces résultats sont en concordance avec des autres études dans différentes régions dans le monde.</w:t>
      </w:r>
    </w:p>
    <w:p w:rsidR="005B5AC0" w:rsidRPr="005B5AC0" w:rsidRDefault="005B5AC0" w:rsidP="006D2195">
      <w:pPr>
        <w:spacing w:after="200" w:line="360" w:lineRule="auto"/>
        <w:ind w:firstLine="708"/>
        <w:jc w:val="both"/>
        <w:rPr>
          <w:rFonts w:asciiTheme="majorBidi" w:eastAsia="Times New Roman" w:hAnsiTheme="majorBidi" w:cs="Times New Roman"/>
          <w:sz w:val="24"/>
          <w:szCs w:val="24"/>
        </w:rPr>
      </w:pPr>
      <w:r w:rsidRPr="005B5AC0">
        <w:rPr>
          <w:rFonts w:asciiTheme="majorBidi" w:eastAsia="Times New Roman" w:hAnsiTheme="majorBidi" w:cs="Times New Roman"/>
          <w:sz w:val="24"/>
          <w:szCs w:val="24"/>
        </w:rPr>
        <w:t>On pourrait donc conclure que l’infection par le VHC pourrait être directement impliquée dans le métabolisme des lipides et peut moduler les voies du métabolisme des lipoprotéines et des gouttelettes lipidiques au niveau de la cellule cible pour accomplir son cycle viral.</w:t>
      </w:r>
      <w:r w:rsidR="006D2195" w:rsidRPr="006D2195">
        <w:rPr>
          <w:rFonts w:asciiTheme="majorBidi" w:hAnsiTheme="majorBidi" w:cstheme="majorBidi"/>
          <w:sz w:val="24"/>
          <w:szCs w:val="24"/>
        </w:rPr>
        <w:t xml:space="preserve"> </w:t>
      </w:r>
      <w:r w:rsidR="006D2195" w:rsidRPr="004A00F7">
        <w:rPr>
          <w:rFonts w:asciiTheme="majorBidi" w:hAnsiTheme="majorBidi" w:cstheme="majorBidi"/>
          <w:sz w:val="24"/>
          <w:szCs w:val="24"/>
        </w:rPr>
        <w:t>Ainsi</w:t>
      </w:r>
      <w:r w:rsidR="006D2195" w:rsidRPr="004A00F7">
        <w:rPr>
          <w:rFonts w:asciiTheme="majorBidi" w:eastAsia="Times New Roman" w:hAnsiTheme="majorBidi" w:cs="Times New Roman"/>
          <w:sz w:val="24"/>
          <w:szCs w:val="24"/>
        </w:rPr>
        <w:t>, une stéatose hépatique peut se former avec réplication virale et progression de la fibrose.</w:t>
      </w:r>
      <w:r w:rsidR="006D2195" w:rsidRPr="005B5AC0">
        <w:rPr>
          <w:rFonts w:asciiTheme="majorBidi" w:eastAsia="Times New Roman" w:hAnsiTheme="majorBidi" w:cs="Times New Roman"/>
          <w:sz w:val="24"/>
          <w:szCs w:val="24"/>
        </w:rPr>
        <w:t xml:space="preserve"> </w:t>
      </w:r>
    </w:p>
    <w:p w:rsidR="005B5AC0" w:rsidRPr="005B5AC0" w:rsidRDefault="005B5AC0" w:rsidP="005B5AC0">
      <w:pPr>
        <w:spacing w:after="200" w:line="360" w:lineRule="auto"/>
        <w:ind w:firstLine="708"/>
        <w:jc w:val="both"/>
        <w:rPr>
          <w:rFonts w:asciiTheme="majorBidi" w:eastAsia="Times New Roman" w:hAnsiTheme="majorBidi" w:cs="Times New Roman"/>
          <w:sz w:val="24"/>
          <w:szCs w:val="24"/>
        </w:rPr>
      </w:pPr>
      <w:r w:rsidRPr="005B5AC0">
        <w:rPr>
          <w:rFonts w:asciiTheme="majorBidi" w:eastAsia="Times New Roman" w:hAnsiTheme="majorBidi" w:cs="Times New Roman"/>
          <w:sz w:val="24"/>
          <w:szCs w:val="24"/>
        </w:rPr>
        <w:t>Les connaissances approfondies des interactions entre le VHC et le métabolisme lipidique ouvrent des perspectives en ce qui concerne son utilisation du comme cible thérapeutique potentielle, en plus de l’utilisation classique des anti-viraux, au cours de l’infection par le VHC.</w:t>
      </w:r>
    </w:p>
    <w:p w:rsidR="00E158C9" w:rsidRDefault="00E158C9" w:rsidP="00E158C9">
      <w:pPr>
        <w:spacing w:line="360" w:lineRule="auto"/>
        <w:ind w:firstLine="708"/>
        <w:rPr>
          <w:rFonts w:asciiTheme="majorBidi" w:hAnsiTheme="majorBidi" w:cstheme="majorBidi"/>
          <w:b/>
          <w:bCs/>
          <w:i/>
          <w:iCs/>
          <w:color w:val="7030A0"/>
          <w:sz w:val="72"/>
          <w:szCs w:val="72"/>
        </w:rPr>
      </w:pPr>
    </w:p>
    <w:p w:rsidR="00E158C9" w:rsidRDefault="00E158C9" w:rsidP="00C91FA9">
      <w:pPr>
        <w:spacing w:line="360" w:lineRule="auto"/>
        <w:ind w:firstLine="708"/>
        <w:jc w:val="center"/>
        <w:rPr>
          <w:rFonts w:asciiTheme="majorBidi" w:hAnsiTheme="majorBidi" w:cstheme="majorBidi"/>
          <w:b/>
          <w:bCs/>
          <w:i/>
          <w:iCs/>
          <w:color w:val="7030A0"/>
          <w:sz w:val="72"/>
          <w:szCs w:val="72"/>
        </w:rPr>
      </w:pPr>
    </w:p>
    <w:p w:rsidR="00532E6D" w:rsidRDefault="00532E6D" w:rsidP="00C91FA9">
      <w:pPr>
        <w:spacing w:line="360" w:lineRule="auto"/>
        <w:ind w:firstLine="708"/>
        <w:jc w:val="center"/>
        <w:rPr>
          <w:rFonts w:asciiTheme="majorBidi" w:hAnsiTheme="majorBidi" w:cstheme="majorBidi"/>
          <w:b/>
          <w:bCs/>
          <w:i/>
          <w:iCs/>
          <w:color w:val="7030A0"/>
          <w:sz w:val="72"/>
          <w:szCs w:val="72"/>
        </w:rPr>
        <w:sectPr w:rsidR="00532E6D" w:rsidSect="00532E6D">
          <w:footerReference w:type="default" r:id="rId74"/>
          <w:pgSz w:w="11906" w:h="16838"/>
          <w:pgMar w:top="1134" w:right="1134" w:bottom="1134" w:left="1418" w:header="397" w:footer="680" w:gutter="0"/>
          <w:pgNumType w:start="56"/>
          <w:cols w:space="708"/>
          <w:docGrid w:linePitch="360"/>
        </w:sectPr>
      </w:pPr>
    </w:p>
    <w:p w:rsidR="00E158C9" w:rsidRDefault="00E158C9" w:rsidP="00C91FA9">
      <w:pPr>
        <w:spacing w:line="360" w:lineRule="auto"/>
        <w:ind w:firstLine="708"/>
        <w:jc w:val="center"/>
        <w:rPr>
          <w:rFonts w:asciiTheme="majorBidi" w:hAnsiTheme="majorBidi" w:cstheme="majorBidi"/>
          <w:b/>
          <w:bCs/>
          <w:i/>
          <w:iCs/>
          <w:color w:val="7030A0"/>
          <w:sz w:val="72"/>
          <w:szCs w:val="72"/>
        </w:rPr>
      </w:pPr>
    </w:p>
    <w:p w:rsidR="00E158C9" w:rsidRDefault="00E158C9" w:rsidP="00C91FA9">
      <w:pPr>
        <w:spacing w:line="360" w:lineRule="auto"/>
        <w:ind w:firstLine="708"/>
        <w:jc w:val="center"/>
        <w:rPr>
          <w:rFonts w:asciiTheme="majorBidi" w:hAnsiTheme="majorBidi" w:cstheme="majorBidi"/>
          <w:b/>
          <w:bCs/>
          <w:i/>
          <w:iCs/>
          <w:color w:val="7030A0"/>
          <w:sz w:val="72"/>
          <w:szCs w:val="72"/>
        </w:rPr>
      </w:pPr>
    </w:p>
    <w:p w:rsidR="00E158C9" w:rsidRDefault="00E158C9" w:rsidP="00C91FA9">
      <w:pPr>
        <w:spacing w:line="360" w:lineRule="auto"/>
        <w:ind w:firstLine="708"/>
        <w:jc w:val="center"/>
        <w:rPr>
          <w:rFonts w:asciiTheme="majorBidi" w:hAnsiTheme="majorBidi" w:cstheme="majorBidi"/>
          <w:b/>
          <w:bCs/>
          <w:i/>
          <w:iCs/>
          <w:color w:val="7030A0"/>
          <w:sz w:val="72"/>
          <w:szCs w:val="72"/>
        </w:rPr>
      </w:pPr>
    </w:p>
    <w:p w:rsidR="00E158C9" w:rsidRDefault="00E158C9" w:rsidP="005B5AC0">
      <w:pPr>
        <w:spacing w:line="360" w:lineRule="auto"/>
        <w:rPr>
          <w:rFonts w:asciiTheme="majorBidi" w:hAnsiTheme="majorBidi" w:cstheme="majorBidi"/>
          <w:b/>
          <w:bCs/>
          <w:i/>
          <w:iCs/>
          <w:color w:val="7030A0"/>
          <w:sz w:val="72"/>
          <w:szCs w:val="72"/>
        </w:rPr>
      </w:pPr>
    </w:p>
    <w:p w:rsidR="00E158C9" w:rsidRPr="00E158C9" w:rsidRDefault="00E158C9" w:rsidP="00E158C9">
      <w:pPr>
        <w:spacing w:line="360" w:lineRule="auto"/>
        <w:jc w:val="center"/>
        <w:rPr>
          <w:rFonts w:asciiTheme="majorBidi" w:hAnsiTheme="majorBidi" w:cstheme="majorBidi"/>
          <w:b/>
          <w:bCs/>
          <w:i/>
          <w:iCs/>
          <w:color w:val="7030A0"/>
          <w:sz w:val="72"/>
          <w:szCs w:val="72"/>
        </w:rPr>
      </w:pPr>
      <w:r w:rsidRPr="00E158C9">
        <w:rPr>
          <w:rFonts w:asciiTheme="majorBidi" w:hAnsiTheme="majorBidi" w:cstheme="majorBidi"/>
          <w:b/>
          <w:bCs/>
          <w:i/>
          <w:iCs/>
          <w:color w:val="7030A0"/>
          <w:sz w:val="72"/>
          <w:szCs w:val="72"/>
        </w:rPr>
        <w:t>Bibliographie</w:t>
      </w:r>
    </w:p>
    <w:p w:rsidR="00E158C9" w:rsidRDefault="00E158C9">
      <w:pPr>
        <w:spacing w:after="200" w:line="276" w:lineRule="auto"/>
        <w:rPr>
          <w:rFonts w:asciiTheme="majorBidi" w:hAnsiTheme="majorBidi" w:cstheme="majorBidi"/>
          <w:b/>
          <w:bCs/>
          <w:i/>
          <w:iCs/>
          <w:color w:val="7030A0"/>
          <w:sz w:val="48"/>
          <w:szCs w:val="48"/>
        </w:rPr>
      </w:pPr>
      <w:r>
        <w:rPr>
          <w:rFonts w:asciiTheme="majorBidi" w:hAnsiTheme="majorBidi" w:cstheme="majorBidi"/>
          <w:b/>
          <w:bCs/>
          <w:i/>
          <w:iCs/>
          <w:color w:val="7030A0"/>
          <w:sz w:val="48"/>
          <w:szCs w:val="48"/>
        </w:rPr>
        <w:br w:type="page"/>
      </w:r>
    </w:p>
    <w:p w:rsidR="006D2195" w:rsidRDefault="006D2195" w:rsidP="006D2195">
      <w:pPr>
        <w:spacing w:line="360" w:lineRule="auto"/>
        <w:jc w:val="center"/>
        <w:rPr>
          <w:rFonts w:asciiTheme="majorBidi" w:hAnsiTheme="majorBidi" w:cstheme="majorBidi"/>
          <w:b/>
          <w:bCs/>
          <w:i/>
          <w:iCs/>
          <w:color w:val="7030A0"/>
        </w:rPr>
      </w:pPr>
      <w:r>
        <w:rPr>
          <w:rFonts w:asciiTheme="majorBidi" w:hAnsiTheme="majorBidi" w:cstheme="majorBidi"/>
          <w:b/>
          <w:bCs/>
          <w:i/>
          <w:iCs/>
          <w:color w:val="7030A0"/>
          <w:sz w:val="40"/>
          <w:szCs w:val="40"/>
        </w:rPr>
        <w:lastRenderedPageBreak/>
        <w:t>Références Bibliographiques</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Adamowski K, Boyd R, Butt G, </w:t>
      </w:r>
      <w:r>
        <w:rPr>
          <w:rFonts w:asciiTheme="majorBidi" w:hAnsiTheme="majorBidi" w:cstheme="majorBidi"/>
          <w:b/>
          <w:bCs/>
          <w:i/>
          <w:iCs/>
          <w:sz w:val="24"/>
          <w:szCs w:val="24"/>
        </w:rPr>
        <w:t>et al</w:t>
      </w:r>
      <w:r>
        <w:rPr>
          <w:rFonts w:asciiTheme="majorBidi" w:hAnsiTheme="majorBidi" w:cstheme="majorBidi"/>
          <w:sz w:val="24"/>
          <w:szCs w:val="24"/>
        </w:rPr>
        <w:t>. Vivre en santé avec l’hépatite C. Fondation canadienne du foie.2007.</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Asselah T, Ripault M-P, Marcellin P</w:t>
      </w:r>
      <w:r>
        <w:rPr>
          <w:rFonts w:asciiTheme="majorBidi" w:hAnsiTheme="majorBidi" w:cstheme="majorBidi"/>
          <w:sz w:val="24"/>
          <w:szCs w:val="24"/>
        </w:rPr>
        <w:t xml:space="preserve">. Quelle est la signification de la stéatose dans l’hépatite chronique C ? 2003. </w:t>
      </w:r>
      <w:r>
        <w:rPr>
          <w:rFonts w:asciiTheme="majorBidi" w:hAnsiTheme="majorBidi" w:cstheme="majorBidi"/>
          <w:sz w:val="24"/>
          <w:szCs w:val="24"/>
          <w:lang w:eastAsia="fr-FR"/>
        </w:rPr>
        <w:t>Gastroenterol clin biol ; </w:t>
      </w:r>
      <w:r>
        <w:rPr>
          <w:rFonts w:asciiTheme="majorBidi" w:hAnsiTheme="majorBidi" w:cstheme="majorBidi"/>
          <w:sz w:val="24"/>
          <w:szCs w:val="24"/>
        </w:rPr>
        <w:t>27 </w:t>
      </w:r>
      <w:r>
        <w:rPr>
          <w:rFonts w:asciiTheme="majorBidi" w:hAnsiTheme="majorBidi" w:cstheme="majorBidi"/>
          <w:sz w:val="24"/>
          <w:szCs w:val="24"/>
          <w:lang w:eastAsia="fr-FR"/>
        </w:rPr>
        <w:t>:</w:t>
      </w:r>
      <w:r>
        <w:rPr>
          <w:rFonts w:asciiTheme="majorBidi" w:hAnsiTheme="majorBidi" w:cstheme="majorBidi"/>
          <w:sz w:val="24"/>
          <w:szCs w:val="24"/>
        </w:rPr>
        <w:t>1073-1075</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Awde S</w:t>
      </w:r>
      <w:r>
        <w:rPr>
          <w:rFonts w:asciiTheme="majorBidi" w:hAnsiTheme="majorBidi" w:cstheme="majorBidi"/>
          <w:sz w:val="24"/>
          <w:szCs w:val="24"/>
        </w:rPr>
        <w:t>. Relation entre proteolysehepatique et qualites technologiques et sensorielles du foie gras de canard.2014. p 16.</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color w:val="000000"/>
          <w:sz w:val="24"/>
          <w:szCs w:val="24"/>
          <w:lang w:eastAsia="fr-FR"/>
        </w:rPr>
        <w:t>Baghriche I</w:t>
      </w:r>
      <w:r>
        <w:rPr>
          <w:rFonts w:asciiTheme="majorBidi" w:hAnsiTheme="majorBidi" w:cstheme="majorBidi"/>
          <w:color w:val="000000"/>
          <w:sz w:val="24"/>
          <w:szCs w:val="24"/>
          <w:lang w:eastAsia="fr-FR"/>
        </w:rPr>
        <w:t>. Etude anatomopathologique des cirrhoses.</w:t>
      </w:r>
      <w:r>
        <w:rPr>
          <w:rFonts w:ascii="Times New Roman" w:hAnsi="Times New Roman" w:cs="Times New Roman"/>
          <w:sz w:val="23"/>
          <w:szCs w:val="23"/>
        </w:rPr>
        <w:t xml:space="preserve"> Université Mentouri Constantine.</w:t>
      </w:r>
      <w:r>
        <w:rPr>
          <w:rFonts w:asciiTheme="majorBidi" w:hAnsiTheme="majorBidi" w:cstheme="majorBidi"/>
          <w:color w:val="000000"/>
          <w:sz w:val="24"/>
          <w:szCs w:val="24"/>
          <w:lang w:eastAsia="fr-FR"/>
        </w:rPr>
        <w:t xml:space="preserve"> 2011. p 16.</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Bellier J et Goetze K</w:t>
      </w:r>
      <w:r>
        <w:rPr>
          <w:rFonts w:asciiTheme="majorBidi" w:hAnsiTheme="majorBidi" w:cstheme="majorBidi"/>
          <w:sz w:val="24"/>
          <w:szCs w:val="24"/>
        </w:rPr>
        <w:t>. Lipoprotéines, cholestérol et dyslipidémies.2012</w:t>
      </w:r>
      <w:r>
        <w:rPr>
          <w:rFonts w:asciiTheme="majorBidi" w:hAnsiTheme="majorBidi" w:cstheme="majorBidi"/>
          <w:sz w:val="24"/>
          <w:szCs w:val="24"/>
          <w:lang w:eastAsia="fr-FR"/>
        </w:rPr>
        <w:t>. p 10-14.</w:t>
      </w:r>
    </w:p>
    <w:p w:rsidR="006D2195" w:rsidRDefault="006D2195" w:rsidP="006D2195">
      <w:pPr>
        <w:pStyle w:val="Paragraphedeliste"/>
        <w:numPr>
          <w:ilvl w:val="0"/>
          <w:numId w:val="55"/>
        </w:numPr>
        <w:tabs>
          <w:tab w:val="left" w:pos="1935"/>
        </w:tabs>
        <w:spacing w:line="360" w:lineRule="auto"/>
        <w:jc w:val="both"/>
        <w:rPr>
          <w:rFonts w:asciiTheme="majorBidi" w:hAnsiTheme="majorBidi" w:cstheme="majorBidi"/>
          <w:sz w:val="24"/>
          <w:szCs w:val="24"/>
          <w:lang w:eastAsia="fr-FR"/>
        </w:rPr>
      </w:pPr>
      <w:r>
        <w:rPr>
          <w:rFonts w:asciiTheme="majorBidi" w:hAnsiTheme="majorBidi" w:cstheme="majorBidi"/>
          <w:b/>
          <w:bCs/>
          <w:sz w:val="24"/>
          <w:szCs w:val="24"/>
          <w:lang w:eastAsia="fr-FR"/>
        </w:rPr>
        <w:t xml:space="preserve">Benbria S. </w:t>
      </w:r>
      <w:r>
        <w:rPr>
          <w:rFonts w:asciiTheme="majorBidi" w:hAnsiTheme="majorBidi" w:cstheme="majorBidi"/>
          <w:sz w:val="24"/>
          <w:szCs w:val="24"/>
          <w:lang w:eastAsia="fr-FR"/>
        </w:rPr>
        <w:t xml:space="preserve">Perturbation du métabolisme lipidique au cours de l’hépatite C chronique : étude cas – témoins à propos de 30 cas. </w:t>
      </w:r>
      <w:r>
        <w:rPr>
          <w:rFonts w:asciiTheme="majorBidi" w:hAnsiTheme="majorBidi" w:cstheme="majorBidi"/>
          <w:sz w:val="24"/>
          <w:szCs w:val="24"/>
        </w:rPr>
        <w:t>Universite Mohammed V- Souissi.</w:t>
      </w:r>
      <w:r>
        <w:rPr>
          <w:rFonts w:asciiTheme="majorBidi" w:hAnsiTheme="majorBidi" w:cstheme="majorBidi"/>
          <w:sz w:val="24"/>
          <w:szCs w:val="24"/>
          <w:lang w:eastAsia="fr-FR"/>
        </w:rPr>
        <w:t>2010. p 14-63.</w:t>
      </w:r>
    </w:p>
    <w:p w:rsidR="006D2195" w:rsidRDefault="006D2195" w:rsidP="006D2195">
      <w:pPr>
        <w:pStyle w:val="Paragraphedeliste"/>
        <w:numPr>
          <w:ilvl w:val="0"/>
          <w:numId w:val="55"/>
        </w:numPr>
        <w:rPr>
          <w:rFonts w:asciiTheme="majorBidi" w:hAnsiTheme="majorBidi" w:cstheme="majorBidi"/>
          <w:sz w:val="24"/>
          <w:szCs w:val="24"/>
          <w:lang w:eastAsia="fr-FR"/>
        </w:rPr>
      </w:pPr>
      <w:r>
        <w:rPr>
          <w:rFonts w:asciiTheme="majorBidi" w:hAnsiTheme="majorBidi" w:cstheme="majorBidi"/>
          <w:b/>
          <w:bCs/>
          <w:sz w:val="24"/>
          <w:szCs w:val="24"/>
          <w:lang w:eastAsia="fr-FR"/>
        </w:rPr>
        <w:t xml:space="preserve">Benhamou J P, Bircher J, Mcintyre N, Rizzetto M, Rodes J. </w:t>
      </w:r>
      <w:r>
        <w:rPr>
          <w:rFonts w:asciiTheme="majorBidi" w:hAnsiTheme="majorBidi" w:cstheme="majorBidi"/>
          <w:sz w:val="24"/>
          <w:szCs w:val="24"/>
          <w:lang w:eastAsia="fr-FR"/>
        </w:rPr>
        <w:t>Hépatologie clinique.  2éme édition. Médecine-Sciences Flammarion (Ed). Paris. 2002.  p 2148.</w:t>
      </w:r>
    </w:p>
    <w:p w:rsidR="006D2195" w:rsidRDefault="006D2195" w:rsidP="006D2195">
      <w:pPr>
        <w:pStyle w:val="Paragraphedeliste"/>
        <w:numPr>
          <w:ilvl w:val="0"/>
          <w:numId w:val="55"/>
        </w:numPr>
        <w:tabs>
          <w:tab w:val="left" w:pos="1935"/>
        </w:tabs>
        <w:spacing w:line="360" w:lineRule="auto"/>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 xml:space="preserve">Benhouda A, Boujdiya Z, Ahid S, Abouqal R, Adnaoui M. </w:t>
      </w:r>
      <w:r>
        <w:rPr>
          <w:rFonts w:asciiTheme="majorBidi" w:hAnsiTheme="majorBidi" w:cstheme="majorBidi"/>
          <w:sz w:val="24"/>
          <w:szCs w:val="24"/>
          <w:lang w:eastAsia="fr-FR"/>
        </w:rPr>
        <w:t>Prévalence de l’infection par le virus de l’hépatite-C au Maroc et évaluation des tests sérologiques de dépistage pour la prédiction de la virémie. 2008</w:t>
      </w:r>
      <w:r>
        <w:rPr>
          <w:rFonts w:asciiTheme="majorBidi" w:hAnsiTheme="majorBidi" w:cstheme="majorBidi"/>
          <w:b/>
          <w:bCs/>
          <w:sz w:val="24"/>
          <w:szCs w:val="24"/>
          <w:lang w:eastAsia="fr-FR"/>
        </w:rPr>
        <w:t>.</w:t>
      </w:r>
    </w:p>
    <w:p w:rsidR="006D2195" w:rsidRDefault="006D2195" w:rsidP="006D2195">
      <w:pPr>
        <w:pStyle w:val="Paragraphedeliste"/>
        <w:numPr>
          <w:ilvl w:val="0"/>
          <w:numId w:val="55"/>
        </w:numPr>
        <w:tabs>
          <w:tab w:val="left" w:pos="1935"/>
        </w:tabs>
        <w:spacing w:line="360" w:lineRule="auto"/>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Blanchard E, Belouzard S et a</w:t>
      </w:r>
      <w:r>
        <w:rPr>
          <w:rFonts w:asciiTheme="majorBidi" w:hAnsiTheme="majorBidi" w:cstheme="majorBidi"/>
          <w:sz w:val="24"/>
          <w:szCs w:val="24"/>
          <w:lang w:eastAsia="fr-FR"/>
        </w:rPr>
        <w:t xml:space="preserve">l. </w:t>
      </w:r>
      <w:r>
        <w:rPr>
          <w:rFonts w:asciiTheme="majorBidi" w:hAnsiTheme="majorBidi" w:cstheme="majorBidi"/>
          <w:sz w:val="24"/>
          <w:szCs w:val="24"/>
          <w:lang w:val="en-US" w:eastAsia="fr-FR"/>
        </w:rPr>
        <w:t xml:space="preserve">Hepatitis C virus entry depends on clathrinmediated endocytosis. </w:t>
      </w:r>
      <w:r>
        <w:rPr>
          <w:rFonts w:asciiTheme="majorBidi" w:hAnsiTheme="majorBidi" w:cstheme="majorBidi"/>
          <w:sz w:val="24"/>
          <w:szCs w:val="24"/>
          <w:lang w:eastAsia="fr-FR"/>
        </w:rPr>
        <w:t>2006. p 72</w:t>
      </w:r>
      <w:r>
        <w:rPr>
          <w:rFonts w:asciiTheme="majorBidi" w:hAnsiTheme="majorBidi" w:cstheme="majorBidi"/>
          <w:b/>
          <w:bCs/>
          <w:sz w:val="24"/>
          <w:szCs w:val="24"/>
          <w:lang w:eastAsia="fr-FR"/>
        </w:rPr>
        <w:t>.</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Blouin C, Hajduch E, Dugail I. </w:t>
      </w:r>
      <w:r>
        <w:rPr>
          <w:rFonts w:asciiTheme="majorBidi" w:hAnsiTheme="majorBidi" w:cstheme="majorBidi"/>
          <w:sz w:val="24"/>
          <w:szCs w:val="24"/>
        </w:rPr>
        <w:t>Un regard neuf sur les gouttelettes lipidiques des adipocytes : jouent-elles un rôle dans la détection de l’état du stock de triglycérides ?</w:t>
      </w:r>
      <w:r w:rsidRPr="00B135CE">
        <w:rPr>
          <w:rFonts w:asciiTheme="majorBidi" w:hAnsiTheme="majorBidi" w:cstheme="majorBidi"/>
          <w:sz w:val="24"/>
          <w:szCs w:val="24"/>
        </w:rPr>
        <w:t>2005.</w:t>
      </w:r>
      <w:r>
        <w:rPr>
          <w:rFonts w:asciiTheme="majorBidi" w:hAnsiTheme="majorBidi" w:cstheme="majorBidi"/>
          <w:sz w:val="24"/>
          <w:szCs w:val="24"/>
        </w:rPr>
        <w:t>Journal dela Société de Biologie, 200 (1), 59-65.</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Briand N. </w:t>
      </w:r>
      <w:r>
        <w:rPr>
          <w:rFonts w:asciiTheme="majorBidi" w:hAnsiTheme="majorBidi" w:cstheme="majorBidi"/>
          <w:sz w:val="24"/>
          <w:szCs w:val="24"/>
        </w:rPr>
        <w:t xml:space="preserve">Rôle de Caveoline-1 dans le contrôle de la capacité de Stockage lipidique adipocytaire. </w:t>
      </w:r>
      <w:r>
        <w:rPr>
          <w:rFonts w:ascii="Times New Roman" w:hAnsi="Times New Roman" w:cs="Times New Roman"/>
          <w:sz w:val="24"/>
          <w:szCs w:val="24"/>
        </w:rPr>
        <w:t>Universite Paris Vi - Pierre Et Marie Curie</w:t>
      </w:r>
      <w:r>
        <w:rPr>
          <w:rFonts w:ascii="Times New Roman" w:hAnsi="Times New Roman" w:cs="Times New Roman"/>
          <w:sz w:val="28"/>
          <w:szCs w:val="28"/>
        </w:rPr>
        <w:t>.</w:t>
      </w:r>
      <w:r>
        <w:rPr>
          <w:rFonts w:asciiTheme="majorBidi" w:hAnsiTheme="majorBidi" w:cstheme="majorBidi"/>
          <w:sz w:val="24"/>
          <w:szCs w:val="24"/>
        </w:rPr>
        <w:t xml:space="preserve"> 2013. P 29.</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b/>
          <w:bCs/>
          <w:sz w:val="24"/>
          <w:szCs w:val="24"/>
          <w:lang w:val="en-US"/>
        </w:rPr>
      </w:pPr>
      <w:hyperlink r:id="rId75" w:history="1">
        <w:r w:rsidRPr="00B135CE">
          <w:rPr>
            <w:rStyle w:val="Lienhypertexte"/>
            <w:rFonts w:asciiTheme="majorBidi" w:hAnsiTheme="majorBidi" w:cstheme="majorBidi"/>
            <w:b/>
            <w:bCs/>
            <w:color w:val="auto"/>
            <w:sz w:val="24"/>
            <w:szCs w:val="24"/>
            <w:u w:val="none"/>
            <w:lang w:val="en-US" w:eastAsia="fr-FR"/>
          </w:rPr>
          <w:t>Chang</w:t>
        </w:r>
      </w:hyperlink>
      <w:r w:rsidRPr="00B135CE">
        <w:rPr>
          <w:rFonts w:asciiTheme="majorBidi" w:hAnsiTheme="majorBidi" w:cstheme="majorBidi"/>
          <w:b/>
          <w:bCs/>
          <w:sz w:val="24"/>
          <w:szCs w:val="24"/>
          <w:lang w:val="en-US" w:eastAsia="fr-FR"/>
        </w:rPr>
        <w:t xml:space="preserve"> K-S, </w:t>
      </w:r>
      <w:hyperlink r:id="rId76" w:history="1">
        <w:r w:rsidRPr="00B135CE">
          <w:rPr>
            <w:rStyle w:val="Lienhypertexte"/>
            <w:rFonts w:asciiTheme="majorBidi" w:hAnsiTheme="majorBidi" w:cstheme="majorBidi"/>
            <w:b/>
            <w:bCs/>
            <w:color w:val="auto"/>
            <w:sz w:val="24"/>
            <w:szCs w:val="24"/>
            <w:u w:val="none"/>
            <w:lang w:val="en-US" w:eastAsia="fr-FR"/>
          </w:rPr>
          <w:t>Jiang</w:t>
        </w:r>
      </w:hyperlink>
      <w:r w:rsidRPr="00B135CE">
        <w:rPr>
          <w:rFonts w:asciiTheme="majorBidi" w:hAnsiTheme="majorBidi" w:cstheme="majorBidi"/>
          <w:b/>
          <w:bCs/>
          <w:sz w:val="24"/>
          <w:szCs w:val="24"/>
          <w:lang w:val="en-US" w:eastAsia="fr-FR"/>
        </w:rPr>
        <w:t xml:space="preserve"> J, </w:t>
      </w:r>
      <w:hyperlink r:id="rId77" w:history="1">
        <w:r w:rsidRPr="00B135CE">
          <w:rPr>
            <w:rStyle w:val="Lienhypertexte"/>
            <w:rFonts w:asciiTheme="majorBidi" w:hAnsiTheme="majorBidi" w:cstheme="majorBidi"/>
            <w:b/>
            <w:bCs/>
            <w:color w:val="auto"/>
            <w:sz w:val="24"/>
            <w:szCs w:val="24"/>
            <w:u w:val="none"/>
            <w:lang w:val="en-US" w:eastAsia="fr-FR"/>
          </w:rPr>
          <w:t>Cai</w:t>
        </w:r>
      </w:hyperlink>
      <w:r w:rsidRPr="00B135CE">
        <w:rPr>
          <w:rFonts w:asciiTheme="majorBidi" w:hAnsiTheme="majorBidi" w:cstheme="majorBidi"/>
          <w:b/>
          <w:bCs/>
          <w:sz w:val="24"/>
          <w:szCs w:val="24"/>
          <w:lang w:val="en-US" w:eastAsia="fr-FR"/>
        </w:rPr>
        <w:t xml:space="preserve"> Z, </w:t>
      </w:r>
      <w:hyperlink r:id="rId78" w:history="1">
        <w:r w:rsidRPr="00B135CE">
          <w:rPr>
            <w:rStyle w:val="Lienhypertexte"/>
            <w:rFonts w:asciiTheme="majorBidi" w:hAnsiTheme="majorBidi" w:cstheme="majorBidi"/>
            <w:b/>
            <w:bCs/>
            <w:color w:val="auto"/>
            <w:sz w:val="24"/>
            <w:szCs w:val="24"/>
            <w:u w:val="none"/>
            <w:lang w:val="en-US" w:eastAsia="fr-FR"/>
          </w:rPr>
          <w:t>Luo</w:t>
        </w:r>
      </w:hyperlink>
      <w:r w:rsidRPr="00B135CE">
        <w:rPr>
          <w:rFonts w:asciiTheme="majorBidi" w:hAnsiTheme="majorBidi" w:cstheme="majorBidi"/>
          <w:b/>
          <w:bCs/>
          <w:sz w:val="24"/>
          <w:szCs w:val="24"/>
          <w:lang w:val="en-US" w:eastAsia="fr-FR"/>
        </w:rPr>
        <w:t xml:space="preserve"> G</w:t>
      </w:r>
      <w:r w:rsidRPr="00B135CE">
        <w:rPr>
          <w:rFonts w:asciiTheme="majorBidi" w:hAnsiTheme="majorBidi" w:cstheme="majorBidi"/>
          <w:sz w:val="24"/>
          <w:szCs w:val="24"/>
          <w:lang w:val="en-US" w:eastAsia="fr-FR"/>
        </w:rPr>
        <w:t>.</w:t>
      </w:r>
      <w:r>
        <w:rPr>
          <w:rFonts w:asciiTheme="majorBidi" w:hAnsiTheme="majorBidi" w:cstheme="majorBidi"/>
          <w:sz w:val="24"/>
          <w:szCs w:val="24"/>
          <w:lang w:val="en-US" w:eastAsia="fr-FR"/>
        </w:rPr>
        <w:t xml:space="preserve"> </w:t>
      </w:r>
      <w:r>
        <w:rPr>
          <w:rFonts w:asciiTheme="majorBidi" w:hAnsiTheme="majorBidi" w:cstheme="majorBidi"/>
          <w:kern w:val="36"/>
          <w:sz w:val="24"/>
          <w:szCs w:val="24"/>
          <w:lang w:val="en-US" w:eastAsia="fr-FR"/>
        </w:rPr>
        <w:t>Human Apolipoprotein E Is Required for Infectivity and Production of Hepatitis C Virus in Cell Culture</w:t>
      </w:r>
      <w:r>
        <w:rPr>
          <w:rStyle w:val="cit"/>
          <w:rFonts w:asciiTheme="majorBidi" w:hAnsiTheme="majorBidi" w:cstheme="majorBidi"/>
          <w:sz w:val="24"/>
          <w:szCs w:val="24"/>
          <w:lang w:val="en-US"/>
        </w:rPr>
        <w:t>2007. J Virol. 81(24): 13783–13793.</w:t>
      </w:r>
    </w:p>
    <w:p w:rsidR="006D2195" w:rsidRDefault="006D2195" w:rsidP="006D2195">
      <w:pPr>
        <w:pStyle w:val="Paragraphedeliste"/>
        <w:numPr>
          <w:ilvl w:val="0"/>
          <w:numId w:val="55"/>
        </w:numPr>
        <w:spacing w:line="360" w:lineRule="auto"/>
        <w:jc w:val="both"/>
        <w:rPr>
          <w:rFonts w:asciiTheme="majorBidi" w:hAnsiTheme="majorBidi" w:cstheme="majorBidi"/>
          <w:b/>
          <w:bCs/>
          <w:color w:val="7030A0"/>
          <w:sz w:val="52"/>
          <w:szCs w:val="52"/>
        </w:rPr>
      </w:pPr>
      <w:r>
        <w:rPr>
          <w:rFonts w:asciiTheme="majorBidi" w:hAnsiTheme="majorBidi" w:cstheme="majorBidi"/>
          <w:b/>
          <w:bCs/>
          <w:sz w:val="24"/>
          <w:szCs w:val="24"/>
        </w:rPr>
        <w:t xml:space="preserve">Chaouch Safaa. </w:t>
      </w:r>
      <w:r>
        <w:rPr>
          <w:rFonts w:asciiTheme="majorBidi" w:hAnsiTheme="majorBidi" w:cstheme="majorBidi"/>
          <w:sz w:val="24"/>
          <w:szCs w:val="24"/>
        </w:rPr>
        <w:t>Evaluation de la fibrose hépatique chez les hémodialyses chroniques porteurs d’hépatite virale c chronique (expérience du chu Hassan II de Fes à propos de 29 cas). Université Sidi Mohammed Ben Abdellah. 2011. P 40.</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Depla M. </w:t>
      </w:r>
      <w:r>
        <w:rPr>
          <w:rFonts w:asciiTheme="majorBidi" w:hAnsiTheme="majorBidi" w:cstheme="majorBidi"/>
          <w:sz w:val="24"/>
          <w:szCs w:val="24"/>
        </w:rPr>
        <w:t xml:space="preserve">Modélisation </w:t>
      </w:r>
      <w:r>
        <w:rPr>
          <w:rFonts w:asciiTheme="majorBidi" w:hAnsiTheme="majorBidi" w:cstheme="majorBidi"/>
          <w:i/>
          <w:iCs/>
          <w:sz w:val="24"/>
          <w:szCs w:val="24"/>
        </w:rPr>
        <w:t xml:space="preserve">In Vitro </w:t>
      </w:r>
      <w:r>
        <w:rPr>
          <w:rFonts w:asciiTheme="majorBidi" w:hAnsiTheme="majorBidi" w:cstheme="majorBidi"/>
          <w:sz w:val="24"/>
          <w:szCs w:val="24"/>
        </w:rPr>
        <w:t>et étude bioclinique de la stéatose induite par le Virus  de l’hépatite C. Université François-Rabelais de Tours .2011.p 10-67.</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noProof/>
          <w:sz w:val="24"/>
          <w:szCs w:val="24"/>
          <w:lang w:eastAsia="fr-FR"/>
        </w:rPr>
        <w:t xml:space="preserve">Fabre A. </w:t>
      </w:r>
      <w:r>
        <w:rPr>
          <w:rFonts w:asciiTheme="majorBidi" w:hAnsiTheme="majorBidi" w:cstheme="majorBidi"/>
          <w:noProof/>
          <w:sz w:val="24"/>
          <w:szCs w:val="24"/>
          <w:lang w:eastAsia="fr-FR"/>
        </w:rPr>
        <w:t xml:space="preserve">Regulation et implication physiologique de la voie ecto-F1-ATPase/P2Y13 dans le transport retour du cholestérol </w:t>
      </w:r>
      <w:r>
        <w:rPr>
          <w:rFonts w:asciiTheme="majorBidi" w:hAnsiTheme="majorBidi" w:cstheme="majorBidi"/>
          <w:b/>
          <w:bCs/>
          <w:noProof/>
          <w:sz w:val="24"/>
          <w:szCs w:val="24"/>
          <w:lang w:eastAsia="fr-FR"/>
        </w:rPr>
        <w:t>.</w:t>
      </w:r>
      <w:r>
        <w:rPr>
          <w:rFonts w:asciiTheme="majorBidi" w:hAnsiTheme="majorBidi" w:cstheme="majorBidi"/>
          <w:noProof/>
          <w:sz w:val="24"/>
          <w:szCs w:val="24"/>
          <w:lang w:eastAsia="fr-FR"/>
        </w:rPr>
        <w:t>Université  de Toulouse</w:t>
      </w:r>
      <w:r>
        <w:rPr>
          <w:rFonts w:asciiTheme="majorBidi" w:hAnsiTheme="majorBidi" w:cstheme="majorBidi"/>
          <w:b/>
          <w:bCs/>
          <w:noProof/>
          <w:sz w:val="24"/>
          <w:szCs w:val="24"/>
          <w:lang w:eastAsia="fr-FR"/>
        </w:rPr>
        <w:t xml:space="preserve">. </w:t>
      </w:r>
      <w:r>
        <w:rPr>
          <w:rFonts w:asciiTheme="majorBidi" w:hAnsiTheme="majorBidi" w:cstheme="majorBidi"/>
          <w:noProof/>
          <w:sz w:val="24"/>
          <w:szCs w:val="24"/>
          <w:lang w:eastAsia="fr-FR"/>
        </w:rPr>
        <w:t xml:space="preserve">2010. p 39-45. </w:t>
      </w:r>
    </w:p>
    <w:p w:rsidR="006D2195" w:rsidRDefault="006D2195" w:rsidP="006D2195">
      <w:pPr>
        <w:pStyle w:val="Default"/>
        <w:numPr>
          <w:ilvl w:val="0"/>
          <w:numId w:val="55"/>
        </w:numPr>
        <w:spacing w:line="360" w:lineRule="auto"/>
        <w:jc w:val="both"/>
        <w:rPr>
          <w:rFonts w:asciiTheme="majorBidi" w:hAnsiTheme="majorBidi" w:cstheme="majorBidi"/>
          <w:lang w:val="en-US"/>
        </w:rPr>
      </w:pPr>
      <w:r>
        <w:rPr>
          <w:rFonts w:asciiTheme="majorBidi" w:hAnsiTheme="majorBidi" w:cstheme="majorBidi"/>
          <w:b/>
          <w:bCs/>
          <w:lang w:val="en-US"/>
        </w:rPr>
        <w:lastRenderedPageBreak/>
        <w:t>Felmlee D J, Hafirassou M L, Lefevre M, Baumert T F, Schuster C</w:t>
      </w:r>
      <w:r>
        <w:rPr>
          <w:rFonts w:asciiTheme="majorBidi" w:hAnsiTheme="majorBidi" w:cstheme="majorBidi"/>
          <w:lang w:val="en-US"/>
        </w:rPr>
        <w:t xml:space="preserve">. Hepatitis C Virus, Cholesterol and Lipoproteins - Impact for the Viral Life Cycle and Pathogenesis of Liver Disease.2013. </w:t>
      </w:r>
      <w:r>
        <w:rPr>
          <w:rFonts w:asciiTheme="majorBidi" w:hAnsiTheme="majorBidi" w:cstheme="majorBidi"/>
          <w:i/>
          <w:iCs/>
          <w:lang w:val="en-US"/>
        </w:rPr>
        <w:t>Viruses</w:t>
      </w:r>
      <w:r>
        <w:rPr>
          <w:rFonts w:asciiTheme="majorBidi" w:hAnsiTheme="majorBidi" w:cstheme="majorBidi"/>
          <w:lang w:val="en-US"/>
        </w:rPr>
        <w:t xml:space="preserve">, </w:t>
      </w:r>
      <w:r>
        <w:rPr>
          <w:rFonts w:asciiTheme="majorBidi" w:hAnsiTheme="majorBidi" w:cstheme="majorBidi"/>
          <w:i/>
          <w:iCs/>
          <w:lang w:val="en-US"/>
        </w:rPr>
        <w:t>5</w:t>
      </w:r>
      <w:r>
        <w:rPr>
          <w:rFonts w:asciiTheme="majorBidi" w:hAnsiTheme="majorBidi" w:cstheme="majorBidi"/>
          <w:lang w:val="en-US"/>
        </w:rPr>
        <w:t>, 1292-1324;</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lang w:val="en-US"/>
        </w:rPr>
        <w:t xml:space="preserve">Gaw. A, Murphy. M, Couan. </w:t>
      </w:r>
      <w:r>
        <w:rPr>
          <w:rFonts w:asciiTheme="majorBidi" w:hAnsiTheme="majorBidi" w:cstheme="majorBidi"/>
          <w:b/>
          <w:bCs/>
          <w:sz w:val="24"/>
          <w:szCs w:val="24"/>
        </w:rPr>
        <w:t>R.A, O’Reilly. D.S.J</w:t>
      </w:r>
      <w:r>
        <w:rPr>
          <w:rFonts w:asciiTheme="majorBidi" w:hAnsiTheme="majorBidi" w:cstheme="majorBidi"/>
          <w:sz w:val="24"/>
          <w:szCs w:val="24"/>
        </w:rPr>
        <w:t>. biochimie Clinique ed.,compus, Paris. 2004. p365.</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Germi R, Crance J-M, Garin  D, Zarski J-P, Drouet E</w:t>
      </w:r>
      <w:r>
        <w:rPr>
          <w:rFonts w:asciiTheme="majorBidi" w:hAnsiTheme="majorBidi" w:cstheme="majorBidi"/>
          <w:i/>
          <w:iCs/>
          <w:sz w:val="24"/>
          <w:szCs w:val="24"/>
        </w:rPr>
        <w:t xml:space="preserve">. </w:t>
      </w:r>
      <w:r>
        <w:rPr>
          <w:rFonts w:asciiTheme="majorBidi" w:hAnsiTheme="majorBidi" w:cstheme="majorBidi"/>
          <w:sz w:val="24"/>
          <w:szCs w:val="24"/>
        </w:rPr>
        <w:t>Les récepteurs du virus de l’hépatite C : données actuelles. 2001. Gastroenterol Clin Biol;25:1011-1015.</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Girousse A</w:t>
      </w:r>
      <w:r>
        <w:rPr>
          <w:rFonts w:asciiTheme="majorBidi" w:hAnsiTheme="majorBidi" w:cstheme="majorBidi"/>
          <w:sz w:val="24"/>
          <w:szCs w:val="24"/>
        </w:rPr>
        <w:t>. Régulation de la protéine découplante UCP3 et inhibition génique ou pharmacologique de la lipase hormono-sensible. 2010. p 26.</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Helle F, Cocquerel L</w:t>
      </w:r>
      <w:r>
        <w:rPr>
          <w:rFonts w:asciiTheme="majorBidi" w:hAnsiTheme="majorBidi" w:cstheme="majorBidi"/>
          <w:sz w:val="24"/>
          <w:szCs w:val="24"/>
        </w:rPr>
        <w:t>. L’entrée du virus de l’hépatite C dans ses cellules cibles. 2008.  Virologie, 12 (2) : 105-16.</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Lato" w:hAnsi="Lato"/>
          <w:color w:val="282828"/>
          <w:sz w:val="21"/>
          <w:szCs w:val="21"/>
          <w:shd w:val="clear" w:color="auto" w:fill="FFFFFF"/>
        </w:rPr>
        <w:t>Hermansen et al. 2006</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Hézode C, Dhumeaux D</w:t>
      </w:r>
      <w:r>
        <w:rPr>
          <w:rFonts w:asciiTheme="majorBidi" w:hAnsiTheme="majorBidi" w:cstheme="majorBidi"/>
          <w:sz w:val="24"/>
          <w:szCs w:val="24"/>
        </w:rPr>
        <w:t>. Stéatose et virus de l’hépatite C Steatosis and hepatitis C virus infection. 2003. p 48.</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Highleyman L, Franciscus A.</w:t>
      </w:r>
      <w:r>
        <w:rPr>
          <w:rFonts w:asciiTheme="majorBidi" w:hAnsiTheme="majorBidi" w:cstheme="majorBidi"/>
          <w:sz w:val="24"/>
          <w:szCs w:val="24"/>
        </w:rPr>
        <w:t xml:space="preserve"> Une introduction au foie .2004. HCSP • VERSION 1.0 •.</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Hickmann JJ, Clouston AD, Macdonald GA, </w:t>
      </w:r>
      <w:r>
        <w:rPr>
          <w:rFonts w:asciiTheme="majorBidi" w:hAnsiTheme="majorBidi" w:cstheme="majorBidi"/>
          <w:b/>
          <w:bCs/>
          <w:i/>
          <w:iCs/>
          <w:sz w:val="24"/>
          <w:szCs w:val="24"/>
          <w:lang w:val="en-US"/>
        </w:rPr>
        <w:t>et al</w:t>
      </w:r>
      <w:r>
        <w:rPr>
          <w:rFonts w:asciiTheme="majorBidi" w:hAnsiTheme="majorBidi" w:cstheme="majorBidi"/>
          <w:sz w:val="24"/>
          <w:szCs w:val="24"/>
          <w:lang w:val="en-US"/>
        </w:rPr>
        <w:t>. Effect of weight reduction on liver histology and biochemistry in patients with chronic hepatitis C. 2002. Gut; 51: 89-94.</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Hourigan LF, MacDonald GA, Purdie D, </w:t>
      </w:r>
      <w:r>
        <w:rPr>
          <w:rFonts w:asciiTheme="majorBidi" w:hAnsiTheme="majorBidi" w:cstheme="majorBidi"/>
          <w:b/>
          <w:bCs/>
          <w:i/>
          <w:iCs/>
          <w:sz w:val="24"/>
          <w:szCs w:val="24"/>
          <w:lang w:val="en-US"/>
        </w:rPr>
        <w:t>et al</w:t>
      </w:r>
      <w:r>
        <w:rPr>
          <w:rFonts w:asciiTheme="majorBidi" w:hAnsiTheme="majorBidi" w:cstheme="majorBidi"/>
          <w:sz w:val="24"/>
          <w:szCs w:val="24"/>
          <w:lang w:val="en-US"/>
        </w:rPr>
        <w:t>. Fibrosis in chronic hepatitis C correlates significantly with body mass index steatosis. 1999. Hepatology; 29:1215-9.</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sz w:val="24"/>
          <w:szCs w:val="24"/>
          <w:lang w:val="en-US"/>
        </w:rPr>
        <w:t>Hsu C-S, Liu C-J, Liu C-H, Chen C-L, Lai M-Y, Chen P-J, Chen D-S, KaoJ-H</w:t>
      </w:r>
      <w:r>
        <w:rPr>
          <w:rFonts w:asciiTheme="majorBidi" w:hAnsiTheme="majorBidi" w:cstheme="majorBidi"/>
          <w:sz w:val="24"/>
          <w:szCs w:val="24"/>
          <w:lang w:val="en-US"/>
        </w:rPr>
        <w:t xml:space="preserve">. </w:t>
      </w:r>
      <w:r>
        <w:rPr>
          <w:rFonts w:asciiTheme="majorBidi" w:hAnsiTheme="majorBidi" w:cstheme="majorBidi"/>
          <w:color w:val="000000"/>
          <w:sz w:val="24"/>
          <w:szCs w:val="24"/>
          <w:lang w:val="en-US"/>
        </w:rPr>
        <w:t xml:space="preserve">Metabolic profiles in patients with chronic hepatitis C a case-controle study. </w:t>
      </w:r>
      <w:r>
        <w:rPr>
          <w:rFonts w:asciiTheme="majorBidi" w:hAnsiTheme="majorBidi" w:cstheme="majorBidi"/>
          <w:sz w:val="24"/>
          <w:szCs w:val="24"/>
          <w:lang w:val="en-US"/>
        </w:rPr>
        <w:t xml:space="preserve">2008. </w:t>
      </w:r>
      <w:r>
        <w:rPr>
          <w:rFonts w:asciiTheme="majorBidi" w:hAnsiTheme="majorBidi" w:cstheme="majorBidi"/>
          <w:color w:val="000000"/>
          <w:sz w:val="24"/>
          <w:szCs w:val="24"/>
        </w:rPr>
        <w:t xml:space="preserve">HepatolInt ; 75: 250-257. </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rPr>
        <w:t>Jammart B</w:t>
      </w:r>
      <w:r>
        <w:rPr>
          <w:rFonts w:asciiTheme="majorBidi" w:hAnsiTheme="majorBidi" w:cstheme="majorBidi"/>
          <w:sz w:val="24"/>
          <w:szCs w:val="24"/>
        </w:rPr>
        <w:t xml:space="preserve">. Etude in vitro de l’association du virus de l’hépatite C avec les lipoprotéines de l’hote. </w:t>
      </w:r>
      <w:r>
        <w:rPr>
          <w:rFonts w:asciiTheme="majorBidi" w:hAnsiTheme="majorBidi" w:cstheme="majorBidi"/>
          <w:sz w:val="24"/>
          <w:szCs w:val="24"/>
          <w:lang w:val="en-US"/>
        </w:rPr>
        <w:t>Université de Claude Bernard Lyon I. 2012. P 66-78.</w:t>
      </w:r>
    </w:p>
    <w:p w:rsidR="006D2195" w:rsidRDefault="006D2195" w:rsidP="006D2195">
      <w:pPr>
        <w:pStyle w:val="Default"/>
        <w:numPr>
          <w:ilvl w:val="0"/>
          <w:numId w:val="55"/>
        </w:numPr>
        <w:spacing w:line="360" w:lineRule="auto"/>
        <w:jc w:val="both"/>
        <w:rPr>
          <w:rFonts w:asciiTheme="majorBidi" w:hAnsiTheme="majorBidi" w:cstheme="majorBidi"/>
          <w:b/>
          <w:bCs/>
          <w:color w:val="auto"/>
          <w:lang w:val="en-US"/>
        </w:rPr>
      </w:pPr>
      <w:r>
        <w:rPr>
          <w:rFonts w:asciiTheme="majorBidi" w:hAnsiTheme="majorBidi" w:cstheme="majorBidi"/>
          <w:b/>
          <w:bCs/>
          <w:lang w:val="en-US" w:eastAsia="fr-FR"/>
        </w:rPr>
        <w:t>Kato N</w:t>
      </w:r>
      <w:r>
        <w:rPr>
          <w:rFonts w:asciiTheme="majorBidi" w:hAnsiTheme="majorBidi" w:cstheme="majorBidi"/>
          <w:lang w:val="en-US" w:eastAsia="fr-FR"/>
        </w:rPr>
        <w:t>. Genome of human hepatitis C virus (HCV): gene organization, sequence diversity, and variation.  2000. P 129-51.</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36"/>
          <w:szCs w:val="36"/>
        </w:rPr>
      </w:pPr>
      <w:r>
        <w:rPr>
          <w:rFonts w:asciiTheme="majorBidi" w:hAnsiTheme="majorBidi" w:cstheme="majorBidi"/>
          <w:b/>
          <w:bCs/>
          <w:sz w:val="24"/>
          <w:szCs w:val="24"/>
          <w:shd w:val="clear" w:color="auto" w:fill="FEFEFE"/>
        </w:rPr>
        <w:t>Kahloun, A. Babba, T. Fathallah, B. Ghozzi, M. Ezzine, H. Said, Y. Azzouz, M</w:t>
      </w:r>
      <w:r>
        <w:rPr>
          <w:rFonts w:asciiTheme="majorBidi" w:hAnsiTheme="majorBidi" w:cstheme="majorBidi"/>
          <w:sz w:val="24"/>
          <w:szCs w:val="24"/>
          <w:shd w:val="clear" w:color="auto" w:fill="FEFEFE"/>
        </w:rPr>
        <w:t>. Prévalence des manifestations extra hépatiques au cours des infections par le virus de l’hépatite C : Etude de 140 cas. 2011.  La tunisieMedicale, Vol 89 (n°06), 557 – 560.</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Krieger S</w:t>
      </w:r>
      <w:r>
        <w:rPr>
          <w:rFonts w:asciiTheme="majorBidi" w:hAnsiTheme="majorBidi" w:cstheme="majorBidi"/>
          <w:sz w:val="24"/>
          <w:szCs w:val="24"/>
        </w:rPr>
        <w:t>. Contribution à l'étude du rôle de l'apolipoprotéine E et de la protéine de jonction claudine 1 comme nouvelles cibles thérapeutiques au cours de l'infection par le virus de l'hépatite C.Université de Strasbourg.2009. p 29-75.</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eastAsia="TTE27BB3C8t00" w:hAnsiTheme="majorBidi" w:cstheme="majorBidi"/>
          <w:sz w:val="24"/>
          <w:szCs w:val="24"/>
        </w:rPr>
      </w:pPr>
      <w:r>
        <w:rPr>
          <w:rFonts w:asciiTheme="majorBidi" w:eastAsia="TTE27BB3C8t00" w:hAnsiTheme="majorBidi" w:cstheme="majorBidi"/>
          <w:b/>
          <w:bCs/>
          <w:sz w:val="24"/>
          <w:szCs w:val="24"/>
        </w:rPr>
        <w:t>Lamant M</w:t>
      </w:r>
      <w:r>
        <w:rPr>
          <w:rFonts w:asciiTheme="majorBidi" w:eastAsia="TTE27BB3C8t00" w:hAnsiTheme="majorBidi" w:cstheme="majorBidi"/>
          <w:sz w:val="24"/>
          <w:szCs w:val="24"/>
        </w:rPr>
        <w:t>. Caracterisation d’une nouvelle apolipoproteine humaine, l’apo O. 2006.  p 101.</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eastAsia="TTE27BB3C8t00" w:hAnsiTheme="majorBidi" w:cstheme="majorBidi"/>
          <w:sz w:val="24"/>
          <w:szCs w:val="24"/>
        </w:rPr>
      </w:pPr>
      <w:r>
        <w:rPr>
          <w:rFonts w:asciiTheme="majorBidi" w:hAnsiTheme="majorBidi" w:cstheme="majorBidi"/>
          <w:b/>
          <w:bCs/>
          <w:sz w:val="24"/>
          <w:szCs w:val="24"/>
        </w:rPr>
        <w:t>Lagrost L,  Masson  D, Chapman  J</w:t>
      </w:r>
      <w:r>
        <w:rPr>
          <w:rFonts w:asciiTheme="majorBidi" w:hAnsiTheme="majorBidi" w:cstheme="majorBidi"/>
          <w:sz w:val="24"/>
          <w:szCs w:val="24"/>
        </w:rPr>
        <w:t xml:space="preserve">. </w:t>
      </w:r>
      <w:r>
        <w:rPr>
          <w:rFonts w:asciiTheme="majorBidi" w:hAnsiTheme="majorBidi" w:cstheme="majorBidi"/>
          <w:kern w:val="36"/>
          <w:sz w:val="24"/>
          <w:szCs w:val="24"/>
          <w:lang w:eastAsia="fr-FR"/>
        </w:rPr>
        <w:t>Lipoprotéines et métabolisme lipidique.</w:t>
      </w:r>
      <w:r>
        <w:rPr>
          <w:rFonts w:asciiTheme="majorBidi" w:hAnsiTheme="majorBidi" w:cstheme="majorBidi"/>
          <w:sz w:val="24"/>
          <w:szCs w:val="24"/>
        </w:rPr>
        <w:t xml:space="preserve"> 2005.</w:t>
      </w:r>
    </w:p>
    <w:p w:rsidR="006D2195" w:rsidRDefault="006D2195" w:rsidP="006D2195">
      <w:pPr>
        <w:pStyle w:val="Default"/>
        <w:numPr>
          <w:ilvl w:val="0"/>
          <w:numId w:val="55"/>
        </w:numPr>
        <w:spacing w:line="360" w:lineRule="auto"/>
        <w:jc w:val="both"/>
        <w:rPr>
          <w:rFonts w:asciiTheme="majorBidi" w:hAnsiTheme="majorBidi" w:cstheme="majorBidi"/>
          <w:color w:val="auto"/>
        </w:rPr>
      </w:pPr>
      <w:r>
        <w:rPr>
          <w:rFonts w:asciiTheme="majorBidi" w:hAnsiTheme="majorBidi" w:cstheme="majorBidi"/>
          <w:b/>
          <w:bCs/>
          <w:color w:val="auto"/>
        </w:rPr>
        <w:lastRenderedPageBreak/>
        <w:t>Le Ménach C</w:t>
      </w:r>
      <w:r>
        <w:rPr>
          <w:rFonts w:asciiTheme="majorBidi" w:hAnsiTheme="majorBidi" w:cstheme="majorBidi"/>
          <w:color w:val="auto"/>
        </w:rPr>
        <w:t>. Mise en application des amm du telaprevir et du boceprevir au sein de la cohorte nantaise des patients infectés par le virus de l’hepatite C. 2013.p 14-21.</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Leboeuf C</w:t>
      </w:r>
      <w:r>
        <w:rPr>
          <w:rFonts w:asciiTheme="majorBidi" w:hAnsiTheme="majorBidi" w:cstheme="majorBidi"/>
          <w:sz w:val="24"/>
          <w:szCs w:val="24"/>
        </w:rPr>
        <w:t>. Développement d'immunothérapies du carcinome hépatocellulaire et de l'infection par le virus de l'hépatite C. 2014. p 39.</w:t>
      </w:r>
    </w:p>
    <w:p w:rsidR="006D2195" w:rsidRDefault="006D2195" w:rsidP="006D2195">
      <w:pPr>
        <w:pStyle w:val="Paragraphedeliste"/>
        <w:numPr>
          <w:ilvl w:val="0"/>
          <w:numId w:val="55"/>
        </w:numPr>
        <w:tabs>
          <w:tab w:val="left" w:pos="1935"/>
        </w:tabs>
        <w:spacing w:line="360" w:lineRule="auto"/>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 xml:space="preserve">Maillard A. </w:t>
      </w:r>
      <w:r>
        <w:rPr>
          <w:rFonts w:asciiTheme="majorBidi" w:hAnsiTheme="majorBidi" w:cstheme="majorBidi"/>
          <w:sz w:val="24"/>
          <w:szCs w:val="24"/>
          <w:lang w:eastAsia="fr-FR"/>
        </w:rPr>
        <w:t>Prise en charge actuelle des patients atteints d’hépatite C chronique et  perspectives thérapeutiques</w:t>
      </w:r>
      <w:r>
        <w:rPr>
          <w:rFonts w:asciiTheme="majorBidi" w:hAnsiTheme="majorBidi" w:cstheme="majorBidi"/>
          <w:b/>
          <w:bCs/>
          <w:sz w:val="24"/>
          <w:szCs w:val="24"/>
          <w:lang w:eastAsia="fr-FR"/>
        </w:rPr>
        <w:t xml:space="preserve">. </w:t>
      </w:r>
      <w:r>
        <w:rPr>
          <w:rFonts w:asciiTheme="majorBidi" w:hAnsiTheme="majorBidi" w:cstheme="majorBidi"/>
          <w:sz w:val="24"/>
          <w:szCs w:val="24"/>
          <w:lang w:eastAsia="fr-FR"/>
        </w:rPr>
        <w:t>2013.</w:t>
      </w:r>
    </w:p>
    <w:p w:rsidR="006D2195" w:rsidRDefault="006D2195" w:rsidP="006D2195">
      <w:pPr>
        <w:pStyle w:val="Paragraphedeliste"/>
        <w:numPr>
          <w:ilvl w:val="0"/>
          <w:numId w:val="55"/>
        </w:numPr>
        <w:tabs>
          <w:tab w:val="left" w:pos="1935"/>
        </w:tabs>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eastAsia="fr-FR"/>
        </w:rPr>
        <w:t>Mammette A</w:t>
      </w:r>
      <w:r>
        <w:rPr>
          <w:rFonts w:asciiTheme="majorBidi" w:hAnsiTheme="majorBidi" w:cstheme="majorBidi"/>
          <w:sz w:val="24"/>
          <w:szCs w:val="24"/>
          <w:lang w:eastAsia="fr-FR"/>
        </w:rPr>
        <w:t xml:space="preserve">. Virologie médicale. Press universitaires de Lyon (Ed). </w:t>
      </w:r>
      <w:r>
        <w:rPr>
          <w:rFonts w:asciiTheme="majorBidi" w:hAnsiTheme="majorBidi" w:cstheme="majorBidi"/>
          <w:sz w:val="24"/>
          <w:szCs w:val="24"/>
          <w:lang w:val="en-US" w:eastAsia="fr-FR"/>
        </w:rPr>
        <w:t>Lyon. 2002. p 798.</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color w:val="000000"/>
          <w:sz w:val="24"/>
          <w:szCs w:val="24"/>
          <w:lang w:val="en-US"/>
        </w:rPr>
      </w:pPr>
      <w:r>
        <w:rPr>
          <w:rFonts w:asciiTheme="majorBidi" w:hAnsiTheme="majorBidi" w:cstheme="majorBidi"/>
          <w:b/>
          <w:bCs/>
          <w:color w:val="000000"/>
          <w:sz w:val="24"/>
          <w:szCs w:val="24"/>
          <w:lang w:val="en-US"/>
        </w:rPr>
        <w:t>Marzouk D, Sass J, Bakr I, El Housseiny M, Abdel-Hamid M, Rekacewicz C, Chaturvedi N, Mohamed MK, Fontanet A</w:t>
      </w:r>
      <w:r>
        <w:rPr>
          <w:rFonts w:asciiTheme="majorBidi" w:hAnsiTheme="majorBidi" w:cstheme="majorBidi"/>
          <w:color w:val="000000"/>
          <w:sz w:val="24"/>
          <w:szCs w:val="24"/>
          <w:lang w:val="en-US"/>
        </w:rPr>
        <w:t xml:space="preserve">. Metabolic and cardiovascular risk profiles and hepatits C virus infection in rural Egypt. 2007. Gut; 56:1105-1110. </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Moenne-Loccoz R</w:t>
      </w:r>
      <w:r>
        <w:rPr>
          <w:rFonts w:asciiTheme="majorBidi" w:hAnsiTheme="majorBidi" w:cstheme="majorBidi"/>
          <w:sz w:val="24"/>
          <w:szCs w:val="24"/>
        </w:rPr>
        <w:t>. Impact des glycoprotéines d'enveloppe E1 et E2 du virus de l'hépatite C sur la réponse au traitement antiviral interféron-α pégylé/ribavirine chez des patients atteints d'hépatite chronique C. l’Université de Strasbourg. 2011. P 42.</w:t>
      </w:r>
    </w:p>
    <w:p w:rsidR="006D2195" w:rsidRDefault="006D2195" w:rsidP="006D2195">
      <w:pPr>
        <w:pStyle w:val="Paragraphedeliste"/>
        <w:numPr>
          <w:ilvl w:val="0"/>
          <w:numId w:val="55"/>
        </w:numPr>
        <w:tabs>
          <w:tab w:val="left" w:pos="1935"/>
        </w:tabs>
        <w:spacing w:line="360" w:lineRule="auto"/>
        <w:jc w:val="both"/>
        <w:rPr>
          <w:rFonts w:asciiTheme="majorBidi" w:hAnsiTheme="majorBidi" w:cstheme="majorBidi"/>
          <w:b/>
          <w:bCs/>
          <w:sz w:val="24"/>
          <w:szCs w:val="24"/>
        </w:rPr>
      </w:pPr>
      <w:r>
        <w:rPr>
          <w:rFonts w:asciiTheme="majorBidi" w:hAnsiTheme="majorBidi" w:cstheme="majorBidi"/>
          <w:b/>
          <w:bCs/>
          <w:sz w:val="24"/>
          <w:szCs w:val="24"/>
          <w:lang w:eastAsia="fr-FR"/>
        </w:rPr>
        <w:t>Moucari</w:t>
      </w:r>
      <w:r>
        <w:rPr>
          <w:rFonts w:asciiTheme="majorBidi" w:hAnsiTheme="majorBidi" w:cstheme="majorBidi"/>
          <w:b/>
          <w:bCs/>
          <w:sz w:val="24"/>
          <w:szCs w:val="24"/>
          <w:vertAlign w:val="superscript"/>
          <w:lang w:eastAsia="fr-FR"/>
        </w:rPr>
        <w:t> </w:t>
      </w:r>
      <w:r>
        <w:rPr>
          <w:rFonts w:asciiTheme="majorBidi" w:hAnsiTheme="majorBidi" w:cstheme="majorBidi"/>
          <w:b/>
          <w:bCs/>
          <w:sz w:val="24"/>
          <w:szCs w:val="24"/>
          <w:lang w:eastAsia="fr-FR"/>
        </w:rPr>
        <w:t>R, Marcellin</w:t>
      </w:r>
      <w:r>
        <w:rPr>
          <w:rFonts w:asciiTheme="majorBidi" w:hAnsiTheme="majorBidi" w:cstheme="majorBidi"/>
          <w:b/>
          <w:bCs/>
          <w:sz w:val="24"/>
          <w:szCs w:val="24"/>
          <w:vertAlign w:val="superscript"/>
          <w:lang w:eastAsia="fr-FR"/>
        </w:rPr>
        <w:t> </w:t>
      </w:r>
      <w:r>
        <w:rPr>
          <w:rFonts w:asciiTheme="majorBidi" w:hAnsiTheme="majorBidi" w:cstheme="majorBidi"/>
          <w:b/>
          <w:bCs/>
          <w:sz w:val="24"/>
          <w:szCs w:val="24"/>
          <w:lang w:eastAsia="fr-FR"/>
        </w:rPr>
        <w:t>P,  Asselah</w:t>
      </w:r>
      <w:r>
        <w:rPr>
          <w:rFonts w:asciiTheme="majorBidi" w:hAnsiTheme="majorBidi" w:cstheme="majorBidi"/>
          <w:b/>
          <w:bCs/>
          <w:sz w:val="24"/>
          <w:szCs w:val="24"/>
          <w:vertAlign w:val="superscript"/>
          <w:lang w:eastAsia="fr-FR"/>
        </w:rPr>
        <w:t> </w:t>
      </w:r>
      <w:r>
        <w:rPr>
          <w:rFonts w:asciiTheme="majorBidi" w:hAnsiTheme="majorBidi" w:cstheme="majorBidi"/>
          <w:b/>
          <w:bCs/>
          <w:sz w:val="24"/>
          <w:szCs w:val="24"/>
          <w:lang w:eastAsia="fr-FR"/>
        </w:rPr>
        <w:t xml:space="preserve">T. </w:t>
      </w:r>
      <w:r>
        <w:rPr>
          <w:rFonts w:asciiTheme="majorBidi" w:hAnsiTheme="majorBidi" w:cstheme="majorBidi"/>
          <w:sz w:val="24"/>
          <w:szCs w:val="24"/>
          <w:lang w:eastAsia="fr-FR"/>
        </w:rPr>
        <w:t>Stéatose au cours de l'hépatite chronique C : rôle de l'insulino-résistance et des facteurs viraux. 2007.Gastroenterol clin biol ; 31: 643-654.</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color w:val="000000"/>
          <w:sz w:val="24"/>
          <w:szCs w:val="24"/>
          <w:lang w:val="en-US" w:eastAsia="fr-FR"/>
        </w:rPr>
        <w:t>Narita R1, Abe S, Kihara Y, Akiyama T, Tabaru A, Otsuki  M</w:t>
      </w:r>
      <w:r>
        <w:rPr>
          <w:rFonts w:asciiTheme="majorBidi" w:hAnsiTheme="majorBidi" w:cstheme="majorBidi"/>
          <w:color w:val="000000"/>
          <w:sz w:val="24"/>
          <w:szCs w:val="24"/>
          <w:lang w:val="en-US" w:eastAsia="fr-FR"/>
        </w:rPr>
        <w:t xml:space="preserve">. Insulin resistance  and  insulin  secretion in  chronic  hepatitis  C  virus  infection.  2004. </w:t>
      </w:r>
      <w:r>
        <w:rPr>
          <w:rFonts w:asciiTheme="majorBidi" w:hAnsiTheme="majorBidi" w:cstheme="majorBidi"/>
          <w:color w:val="000000"/>
          <w:sz w:val="24"/>
          <w:szCs w:val="24"/>
          <w:lang w:eastAsia="fr-FR"/>
        </w:rPr>
        <w:t>J Hepatol. 41:132-8.</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b/>
          <w:bCs/>
          <w:sz w:val="24"/>
          <w:szCs w:val="24"/>
        </w:rPr>
      </w:pPr>
      <w:r>
        <w:rPr>
          <w:rFonts w:asciiTheme="majorBidi" w:eastAsia="TarzanaNarrowBold" w:hAnsiTheme="majorBidi" w:cstheme="majorBidi"/>
          <w:b/>
          <w:bCs/>
          <w:sz w:val="24"/>
          <w:szCs w:val="24"/>
        </w:rPr>
        <w:t xml:space="preserve">PawlotskyJean-Michel. </w:t>
      </w:r>
      <w:r>
        <w:rPr>
          <w:rFonts w:asciiTheme="majorBidi" w:hAnsiTheme="majorBidi" w:cstheme="majorBidi"/>
          <w:sz w:val="24"/>
          <w:szCs w:val="24"/>
        </w:rPr>
        <w:t>Le virus de l’hépatite C.</w:t>
      </w:r>
      <w:r>
        <w:rPr>
          <w:rFonts w:asciiTheme="majorBidi" w:eastAsia="TarzanaNarrowBold" w:hAnsiTheme="majorBidi" w:cstheme="majorBidi"/>
          <w:sz w:val="24"/>
          <w:szCs w:val="24"/>
        </w:rPr>
        <w:t xml:space="preserve">2002.  </w:t>
      </w:r>
      <w:r>
        <w:rPr>
          <w:rFonts w:asciiTheme="majorBidi" w:hAnsiTheme="majorBidi" w:cstheme="majorBidi"/>
          <w:sz w:val="24"/>
          <w:szCs w:val="24"/>
        </w:rPr>
        <w:t>Medecine/sciences ; 18 : 303-14</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Perlemuter G, Sabile A, BréchotC</w:t>
      </w:r>
      <w:r>
        <w:rPr>
          <w:rFonts w:asciiTheme="majorBidi" w:hAnsiTheme="majorBidi" w:cstheme="majorBidi"/>
          <w:sz w:val="24"/>
          <w:szCs w:val="24"/>
        </w:rPr>
        <w:t>. Interactions entre le virus de l’hépatite C et le métabolisme lipidique hépatique. 2000. Gastroenterol Clin Biol ; 24:547-553.</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Perugini V R</w:t>
      </w:r>
      <w:r>
        <w:rPr>
          <w:rFonts w:asciiTheme="majorBidi" w:hAnsiTheme="majorBidi" w:cstheme="majorBidi"/>
          <w:sz w:val="24"/>
          <w:szCs w:val="24"/>
        </w:rPr>
        <w:t xml:space="preserve">, Le rôle de CD81 et de ses protéines associées dans le mécanisme d'entrée du virus de l'hépatite C. L’université DE LILLE II.2008. p 60. </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Piodi A</w:t>
      </w:r>
      <w:r>
        <w:rPr>
          <w:rFonts w:asciiTheme="majorBidi" w:hAnsiTheme="majorBidi" w:cstheme="majorBidi"/>
          <w:sz w:val="24"/>
          <w:szCs w:val="24"/>
        </w:rPr>
        <w:t>. Caractérisation des déterminants viraux de la stéatose hepatocytaire induite par le virus de l'hépatite. Universite PARIS  XII – Val De Marne. 2008. p 26-61.</w:t>
      </w:r>
    </w:p>
    <w:p w:rsidR="006D2195" w:rsidRDefault="006D2195" w:rsidP="006D2195">
      <w:pPr>
        <w:pStyle w:val="Paragraphedeliste"/>
        <w:numPr>
          <w:ilvl w:val="0"/>
          <w:numId w:val="55"/>
        </w:numPr>
        <w:spacing w:line="360" w:lineRule="auto"/>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Pol S et Fontaine H</w:t>
      </w:r>
      <w:r>
        <w:rPr>
          <w:rFonts w:asciiTheme="majorBidi" w:hAnsiTheme="majorBidi" w:cstheme="majorBidi"/>
          <w:sz w:val="24"/>
          <w:szCs w:val="24"/>
          <w:lang w:eastAsia="fr-FR"/>
        </w:rPr>
        <w:t>. Hépatites virales. EncyclMédChir (Elsevier, Paris), Maladies infectieuses, 8-065-F-10, Pédiatrie, 4-310-C-10, 1998. 6 p.</w:t>
      </w:r>
    </w:p>
    <w:p w:rsidR="006D2195" w:rsidRDefault="006D2195" w:rsidP="006D2195">
      <w:pPr>
        <w:pStyle w:val="Paragraphedeliste"/>
        <w:numPr>
          <w:ilvl w:val="0"/>
          <w:numId w:val="55"/>
        </w:numPr>
        <w:spacing w:line="360" w:lineRule="auto"/>
        <w:jc w:val="both"/>
        <w:rPr>
          <w:rFonts w:asciiTheme="majorBidi" w:hAnsiTheme="majorBidi" w:cstheme="majorBidi"/>
          <w:b/>
          <w:bCs/>
          <w:sz w:val="24"/>
          <w:szCs w:val="24"/>
          <w:lang w:eastAsia="fr-FR"/>
        </w:rPr>
      </w:pPr>
      <w:r>
        <w:rPr>
          <w:rFonts w:asciiTheme="majorBidi" w:hAnsiTheme="majorBidi" w:cstheme="majorBidi"/>
          <w:b/>
          <w:bCs/>
          <w:sz w:val="24"/>
          <w:szCs w:val="24"/>
        </w:rPr>
        <w:t>Regost</w:t>
      </w:r>
      <w:r>
        <w:rPr>
          <w:rFonts w:asciiTheme="majorBidi" w:hAnsiTheme="majorBidi" w:cstheme="majorBidi"/>
          <w:sz w:val="24"/>
          <w:szCs w:val="24"/>
        </w:rPr>
        <w:t xml:space="preserve"> C.Effets des lipides sur la qualite nutritionnelle, physique et organoleptique de la chair de la truite fario</w:t>
      </w:r>
      <w:r>
        <w:rPr>
          <w:rFonts w:asciiTheme="majorBidi" w:hAnsiTheme="majorBidi" w:cstheme="majorBidi"/>
          <w:i/>
          <w:iCs/>
          <w:sz w:val="24"/>
          <w:szCs w:val="24"/>
        </w:rPr>
        <w:t xml:space="preserve">(Salmotrutta) </w:t>
      </w:r>
      <w:r>
        <w:rPr>
          <w:rFonts w:asciiTheme="majorBidi" w:hAnsiTheme="majorBidi" w:cstheme="majorBidi"/>
          <w:sz w:val="24"/>
          <w:szCs w:val="24"/>
        </w:rPr>
        <w:t xml:space="preserve">et du turbot </w:t>
      </w:r>
      <w:r>
        <w:rPr>
          <w:rFonts w:asciiTheme="majorBidi" w:hAnsiTheme="majorBidi" w:cstheme="majorBidi"/>
          <w:i/>
          <w:iCs/>
          <w:sz w:val="24"/>
          <w:szCs w:val="24"/>
        </w:rPr>
        <w:t>(psetta maxima).</w:t>
      </w:r>
      <w:r>
        <w:rPr>
          <w:rFonts w:asciiTheme="majorBidi" w:hAnsiTheme="majorBidi" w:cstheme="majorBidi"/>
          <w:color w:val="000000"/>
          <w:sz w:val="24"/>
          <w:szCs w:val="24"/>
        </w:rPr>
        <w:t xml:space="preserve"> L'universite De Rennes I</w:t>
      </w:r>
      <w:r>
        <w:rPr>
          <w:rFonts w:asciiTheme="majorBidi" w:hAnsiTheme="majorBidi" w:cstheme="majorBidi"/>
          <w:sz w:val="24"/>
          <w:szCs w:val="24"/>
        </w:rPr>
        <w:t>. 2001.P22.</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Roingeard P, Hourioux C</w:t>
      </w:r>
      <w:r>
        <w:rPr>
          <w:rFonts w:asciiTheme="majorBidi" w:hAnsiTheme="majorBidi" w:cstheme="majorBidi"/>
          <w:sz w:val="24"/>
          <w:szCs w:val="24"/>
        </w:rPr>
        <w:t>. Virus de l'hépatite C et gouttelettes lipidiques. médecine/sciences. 2007. EDP Sciences ; 23, pp.461-464.</w:t>
      </w:r>
    </w:p>
    <w:p w:rsidR="006D2195" w:rsidRDefault="006D2195" w:rsidP="006D2195">
      <w:pPr>
        <w:pStyle w:val="Paragraphedeliste"/>
        <w:numPr>
          <w:ilvl w:val="0"/>
          <w:numId w:val="55"/>
        </w:numPr>
        <w:spacing w:after="0" w:line="360" w:lineRule="auto"/>
        <w:jc w:val="both"/>
        <w:rPr>
          <w:rFonts w:asciiTheme="majorBidi" w:hAnsiTheme="majorBidi" w:cstheme="majorBidi"/>
          <w:color w:val="000000"/>
          <w:sz w:val="24"/>
          <w:szCs w:val="24"/>
          <w:lang w:eastAsia="fr-FR"/>
        </w:rPr>
      </w:pPr>
      <w:r>
        <w:rPr>
          <w:rFonts w:asciiTheme="majorBidi" w:hAnsiTheme="majorBidi" w:cstheme="majorBidi"/>
          <w:b/>
          <w:bCs/>
          <w:color w:val="000000"/>
          <w:sz w:val="24"/>
          <w:szCs w:val="24"/>
          <w:lang w:eastAsia="fr-FR"/>
        </w:rPr>
        <w:t>Rubbia-Brandt L, Negro F</w:t>
      </w:r>
      <w:r>
        <w:rPr>
          <w:rFonts w:asciiTheme="majorBidi" w:hAnsiTheme="majorBidi" w:cstheme="majorBidi"/>
          <w:color w:val="000000"/>
          <w:sz w:val="24"/>
          <w:szCs w:val="24"/>
          <w:lang w:eastAsia="fr-FR"/>
        </w:rPr>
        <w:t xml:space="preserve">. </w:t>
      </w:r>
      <w:r>
        <w:rPr>
          <w:rFonts w:asciiTheme="majorBidi" w:hAnsiTheme="majorBidi" w:cstheme="majorBidi"/>
          <w:color w:val="000000"/>
          <w:kern w:val="36"/>
          <w:sz w:val="24"/>
          <w:szCs w:val="24"/>
          <w:lang w:eastAsia="fr-FR"/>
        </w:rPr>
        <w:t xml:space="preserve">Stéatose du foie lors d'hépatite chronique virale C : à la recherche du coupable. </w:t>
      </w:r>
      <w:r>
        <w:rPr>
          <w:rFonts w:asciiTheme="majorBidi" w:hAnsiTheme="majorBidi" w:cstheme="majorBidi"/>
          <w:color w:val="000000"/>
          <w:sz w:val="24"/>
          <w:szCs w:val="24"/>
          <w:lang w:eastAsia="fr-FR"/>
        </w:rPr>
        <w:t>2003. Rev Med Suisse.</w:t>
      </w:r>
    </w:p>
    <w:p w:rsidR="006D2195" w:rsidRDefault="006D2195" w:rsidP="006D2195">
      <w:pPr>
        <w:pStyle w:val="Titre2"/>
        <w:numPr>
          <w:ilvl w:val="0"/>
          <w:numId w:val="55"/>
        </w:numPr>
        <w:spacing w:line="360" w:lineRule="auto"/>
        <w:jc w:val="both"/>
        <w:rPr>
          <w:rFonts w:asciiTheme="majorBidi" w:eastAsia="Times New Roman" w:hAnsiTheme="majorBidi"/>
          <w:b w:val="0"/>
          <w:bCs w:val="0"/>
          <w:color w:val="auto"/>
          <w:sz w:val="24"/>
          <w:szCs w:val="24"/>
          <w:lang w:eastAsia="fr-FR" w:bidi="ar-SA"/>
        </w:rPr>
      </w:pPr>
      <w:hyperlink r:id="rId79" w:history="1">
        <w:r w:rsidRPr="00B135CE">
          <w:rPr>
            <w:rStyle w:val="Lienhypertexte"/>
            <w:rFonts w:asciiTheme="majorBidi" w:eastAsia="Times New Roman" w:hAnsiTheme="majorBidi"/>
            <w:color w:val="auto"/>
            <w:sz w:val="24"/>
            <w:szCs w:val="24"/>
            <w:u w:val="none"/>
            <w:lang w:eastAsia="fr-FR" w:bidi="ar-SA"/>
          </w:rPr>
          <w:t>Sassolas</w:t>
        </w:r>
      </w:hyperlink>
      <w:r w:rsidRPr="00B135CE">
        <w:rPr>
          <w:rFonts w:asciiTheme="majorBidi" w:eastAsia="Times New Roman" w:hAnsiTheme="majorBidi"/>
          <w:color w:val="auto"/>
          <w:sz w:val="24"/>
          <w:szCs w:val="24"/>
          <w:lang w:eastAsia="fr-FR" w:bidi="ar-SA"/>
        </w:rPr>
        <w:t>A,</w:t>
      </w:r>
      <w:r>
        <w:rPr>
          <w:rFonts w:asciiTheme="majorBidi" w:eastAsia="Times New Roman" w:hAnsiTheme="majorBidi"/>
          <w:color w:val="auto"/>
          <w:sz w:val="24"/>
          <w:szCs w:val="24"/>
          <w:lang w:eastAsia="fr-FR" w:bidi="ar-SA"/>
        </w:rPr>
        <w:t xml:space="preserve"> </w:t>
      </w:r>
      <w:hyperlink r:id="rId80" w:history="1">
        <w:r w:rsidRPr="00B135CE">
          <w:rPr>
            <w:rStyle w:val="Lienhypertexte"/>
            <w:rFonts w:asciiTheme="majorBidi" w:eastAsia="Times New Roman" w:hAnsiTheme="majorBidi"/>
            <w:color w:val="auto"/>
            <w:sz w:val="24"/>
            <w:szCs w:val="24"/>
            <w:u w:val="none"/>
            <w:lang w:eastAsia="fr-FR" w:bidi="ar-SA"/>
          </w:rPr>
          <w:t>Cartier</w:t>
        </w:r>
      </w:hyperlink>
      <w:r w:rsidRPr="00B135CE">
        <w:rPr>
          <w:rFonts w:asciiTheme="majorBidi" w:eastAsia="Times New Roman" w:hAnsiTheme="majorBidi"/>
          <w:color w:val="auto"/>
          <w:sz w:val="24"/>
          <w:szCs w:val="24"/>
          <w:lang w:eastAsia="fr-FR" w:bidi="ar-SA"/>
        </w:rPr>
        <w:t>R</w:t>
      </w:r>
      <w:r w:rsidRPr="00B135CE">
        <w:rPr>
          <w:rFonts w:asciiTheme="majorBidi" w:eastAsia="Times New Roman" w:hAnsiTheme="majorBidi"/>
          <w:b w:val="0"/>
          <w:bCs w:val="0"/>
          <w:color w:val="auto"/>
          <w:sz w:val="24"/>
          <w:szCs w:val="24"/>
          <w:lang w:eastAsia="fr-FR" w:bidi="ar-SA"/>
        </w:rPr>
        <w:t>.</w:t>
      </w:r>
      <w:r>
        <w:rPr>
          <w:rFonts w:asciiTheme="majorBidi" w:eastAsia="Times New Roman" w:hAnsiTheme="majorBidi"/>
          <w:b w:val="0"/>
          <w:bCs w:val="0"/>
          <w:color w:val="auto"/>
          <w:sz w:val="24"/>
          <w:szCs w:val="24"/>
          <w:lang w:eastAsia="fr-FR" w:bidi="ar-SA"/>
        </w:rPr>
        <w:t xml:space="preserve"> Les hypocholestérolémies : causes et diagnostic.1999. </w:t>
      </w:r>
      <w:r>
        <w:rPr>
          <w:rFonts w:asciiTheme="majorBidi" w:hAnsiTheme="majorBidi"/>
          <w:b w:val="0"/>
          <w:bCs w:val="0"/>
          <w:color w:val="auto"/>
          <w:sz w:val="24"/>
          <w:szCs w:val="24"/>
        </w:rPr>
        <w:t>JOHN LIBBEY EUROTEXT.</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Serfaty L</w:t>
      </w:r>
      <w:r>
        <w:rPr>
          <w:rFonts w:asciiTheme="majorBidi" w:hAnsiTheme="majorBidi" w:cstheme="majorBidi"/>
          <w:sz w:val="24"/>
          <w:szCs w:val="24"/>
        </w:rPr>
        <w:t>. 2016. Faut-il prendre en compte l’insulinorésistance chez les patients atteints d’hépatite C ?  JOHN LIBBEY EUROTEXT.</w:t>
      </w:r>
      <w:r>
        <w:rPr>
          <w:rFonts w:asciiTheme="majorBidi" w:hAnsiTheme="majorBidi" w:cstheme="majorBidi"/>
          <w:color w:val="000000" w:themeColor="text1"/>
          <w:sz w:val="24"/>
          <w:szCs w:val="24"/>
          <w:shd w:val="clear" w:color="auto" w:fill="FFFFFF"/>
        </w:rPr>
        <w:t xml:space="preserve"> P 6</w:t>
      </w:r>
    </w:p>
    <w:p w:rsidR="006D2195" w:rsidRDefault="006D2195" w:rsidP="006D2195">
      <w:pPr>
        <w:autoSpaceDE w:val="0"/>
        <w:autoSpaceDN w:val="0"/>
        <w:adjustRightInd w:val="0"/>
        <w:spacing w:after="0" w:line="360" w:lineRule="auto"/>
        <w:ind w:left="142"/>
        <w:jc w:val="both"/>
        <w:rPr>
          <w:rFonts w:asciiTheme="majorBidi" w:hAnsiTheme="majorBidi" w:cstheme="majorBidi"/>
          <w:sz w:val="24"/>
          <w:szCs w:val="24"/>
        </w:rPr>
      </w:pP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lang w:val="en-US"/>
        </w:rPr>
        <w:t>Sharma S, Sharma A, Sharma S</w:t>
      </w:r>
      <w:r>
        <w:rPr>
          <w:rFonts w:asciiTheme="majorBidi" w:hAnsiTheme="majorBidi" w:cstheme="majorBidi"/>
          <w:sz w:val="24"/>
          <w:szCs w:val="24"/>
          <w:lang w:val="en-US"/>
        </w:rPr>
        <w:t xml:space="preserve">. Prevalence of Hepatitis C Virus in Patients of Chronic Liver Disease in Farrukhabad, (India).2014. </w:t>
      </w:r>
      <w:r>
        <w:rPr>
          <w:rFonts w:asciiTheme="majorBidi" w:hAnsiTheme="majorBidi" w:cstheme="majorBidi"/>
          <w:sz w:val="24"/>
          <w:szCs w:val="24"/>
        </w:rPr>
        <w:t>ISSN 2278-7763.</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Teeter T,  Franciscus A.</w:t>
      </w:r>
      <w:r>
        <w:rPr>
          <w:rFonts w:asciiTheme="majorBidi" w:hAnsiTheme="majorBidi" w:cstheme="majorBidi"/>
          <w:sz w:val="24"/>
          <w:szCs w:val="24"/>
        </w:rPr>
        <w:t xml:space="preserve"> Comment interpréter un rapport de laboratoire HCSP • VERSION 1.0. 2004.</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b/>
          <w:bCs/>
          <w:sz w:val="24"/>
          <w:szCs w:val="24"/>
          <w:lang w:val="en-US"/>
        </w:rPr>
      </w:pPr>
      <w:r>
        <w:rPr>
          <w:rFonts w:asciiTheme="majorBidi" w:hAnsiTheme="majorBidi" w:cstheme="majorBidi"/>
          <w:b/>
          <w:bCs/>
          <w:color w:val="000000"/>
          <w:sz w:val="24"/>
          <w:szCs w:val="24"/>
          <w:lang w:val="en-US" w:eastAsia="fr-FR"/>
        </w:rPr>
        <w:t>Thomas DL</w:t>
      </w:r>
      <w:r>
        <w:rPr>
          <w:rFonts w:asciiTheme="majorBidi" w:hAnsiTheme="majorBidi" w:cstheme="majorBidi"/>
          <w:color w:val="000000"/>
          <w:sz w:val="24"/>
          <w:szCs w:val="24"/>
          <w:lang w:val="en-US" w:eastAsia="fr-FR"/>
        </w:rPr>
        <w:t>. Hepatitis C epidemiologiy. 2000. P 25-41.</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Thomssen R, Bonk S, Propfe C, Heermann K.H, Kochel H.G, and Uy A</w:t>
      </w:r>
      <w:r>
        <w:rPr>
          <w:rFonts w:asciiTheme="majorBidi" w:hAnsiTheme="majorBidi" w:cstheme="majorBidi"/>
          <w:sz w:val="24"/>
          <w:szCs w:val="24"/>
          <w:lang w:val="en-US"/>
        </w:rPr>
        <w:t>. Association of hepatitis C virus in human sera with beta-lipoprotein. 1992. Med MicrobiolImmunol</w:t>
      </w:r>
      <w:r>
        <w:rPr>
          <w:rFonts w:asciiTheme="majorBidi" w:hAnsiTheme="majorBidi" w:cstheme="majorBidi"/>
          <w:i/>
          <w:iCs/>
          <w:sz w:val="24"/>
          <w:szCs w:val="24"/>
          <w:lang w:val="en-US"/>
        </w:rPr>
        <w:t>181</w:t>
      </w:r>
      <w:r>
        <w:rPr>
          <w:rFonts w:asciiTheme="majorBidi" w:hAnsiTheme="majorBidi" w:cstheme="majorBidi"/>
          <w:sz w:val="24"/>
          <w:szCs w:val="24"/>
          <w:lang w:val="en-US"/>
        </w:rPr>
        <w:t>, 293</w:t>
      </w:r>
      <w:r>
        <w:rPr>
          <w:rFonts w:asciiTheme="majorBidi" w:hAnsiTheme="majorBidi" w:cstheme="majorBidi"/>
          <w:sz w:val="24"/>
          <w:szCs w:val="24"/>
        </w:rPr>
        <w:t>-</w:t>
      </w:r>
      <w:r>
        <w:rPr>
          <w:rFonts w:asciiTheme="majorBidi" w:hAnsiTheme="majorBidi" w:cstheme="majorBidi"/>
          <w:sz w:val="24"/>
          <w:szCs w:val="24"/>
          <w:lang w:val="en-US"/>
        </w:rPr>
        <w:t>300.</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Wagane J, Benga A</w:t>
      </w:r>
      <w:r>
        <w:rPr>
          <w:rFonts w:asciiTheme="majorBidi" w:hAnsiTheme="majorBidi" w:cstheme="majorBidi"/>
          <w:sz w:val="24"/>
          <w:szCs w:val="24"/>
        </w:rPr>
        <w:t xml:space="preserve">. Isolement de protéines cellulaires interagissant avec une région particulière du génome du Virus de l’Hépatite C. Etude de l’implication de ces interactants sur le cycle viral. L’Université Louis Pasteur. 2008. P 48. </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Walic M</w:t>
      </w:r>
      <w:r>
        <w:rPr>
          <w:rFonts w:asciiTheme="majorBidi" w:hAnsiTheme="majorBidi" w:cstheme="majorBidi"/>
          <w:sz w:val="24"/>
          <w:szCs w:val="24"/>
        </w:rPr>
        <w:t>. Rôle des lipoprotéines associent au virus de l'hépatite C et des microtubules dans l'entrée du virus dans la cellule et l'établissement de l'infection. 2013. p 35-103.</w:t>
      </w:r>
    </w:p>
    <w:p w:rsidR="006D2195" w:rsidRDefault="006D2195" w:rsidP="006D2195">
      <w:pPr>
        <w:pStyle w:val="Paragraphedeliste"/>
        <w:numPr>
          <w:ilvl w:val="0"/>
          <w:numId w:val="55"/>
        </w:numPr>
        <w:spacing w:line="360" w:lineRule="auto"/>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Xavier C</w:t>
      </w:r>
      <w:r>
        <w:rPr>
          <w:rFonts w:asciiTheme="majorBidi" w:hAnsiTheme="majorBidi" w:cstheme="majorBidi"/>
          <w:sz w:val="24"/>
          <w:szCs w:val="24"/>
          <w:lang w:eastAsia="fr-FR"/>
        </w:rPr>
        <w:t xml:space="preserve">. Paramètres Immunologiques dans Les Hépatites Virales Chroniques : Evaluation des Réponses Lymphocytaires Spécifiques CD4+ et CD8+ au Cours de L’Hépatite Virale Chronique C. 2009. p 12-14 </w:t>
      </w:r>
    </w:p>
    <w:p w:rsidR="006D2195" w:rsidRDefault="006D2195" w:rsidP="006D2195">
      <w:pPr>
        <w:pStyle w:val="Paragraphedeliste"/>
        <w:numPr>
          <w:ilvl w:val="0"/>
          <w:numId w:val="55"/>
        </w:numPr>
        <w:spacing w:line="360" w:lineRule="auto"/>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Zeba T A M</w:t>
      </w:r>
      <w:r>
        <w:rPr>
          <w:rFonts w:asciiTheme="majorBidi" w:hAnsiTheme="majorBidi" w:cstheme="majorBidi"/>
          <w:sz w:val="24"/>
          <w:szCs w:val="24"/>
          <w:lang w:eastAsia="fr-FR"/>
        </w:rPr>
        <w:t xml:space="preserve">. Coïnfection du virus de l’hépatite C (VHC) et du virus de l’immunodéficience humaine (VIH) chez les femmes enceintes au centre médical Saint-Camille de Ouagadougou. </w:t>
      </w:r>
      <w:r>
        <w:rPr>
          <w:rFonts w:ascii="Times New Roman" w:hAnsi="Times New Roman" w:cs="Times New Roman"/>
          <w:sz w:val="24"/>
          <w:szCs w:val="24"/>
        </w:rPr>
        <w:t>Université D’Ouagadougou</w:t>
      </w:r>
      <w:r>
        <w:rPr>
          <w:rFonts w:asciiTheme="majorBidi" w:hAnsiTheme="majorBidi" w:cstheme="majorBidi"/>
          <w:sz w:val="24"/>
          <w:szCs w:val="24"/>
          <w:lang w:eastAsia="fr-FR"/>
        </w:rPr>
        <w:t>. 2009. p 10.</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Ziada H, </w:t>
      </w:r>
      <w:r>
        <w:rPr>
          <w:rFonts w:asciiTheme="majorBidi" w:hAnsiTheme="majorBidi" w:cstheme="majorBidi"/>
          <w:sz w:val="24"/>
          <w:szCs w:val="24"/>
        </w:rPr>
        <w:t>Polymorphisme de l’Apolipoprotéine E dans les infarctus du myocarde et dans la population générale de Constantine. 2006. p 10.</w:t>
      </w:r>
    </w:p>
    <w:p w:rsidR="006D2195" w:rsidRDefault="006D2195" w:rsidP="006D2195">
      <w:pPr>
        <w:pStyle w:val="Paragraphedeliste"/>
        <w:numPr>
          <w:ilvl w:val="0"/>
          <w:numId w:val="55"/>
        </w:numPr>
        <w:autoSpaceDE w:val="0"/>
        <w:autoSpaceDN w:val="0"/>
        <w:adjustRightInd w:val="0"/>
        <w:spacing w:after="0" w:line="360" w:lineRule="auto"/>
        <w:jc w:val="both"/>
        <w:rPr>
          <w:rFonts w:asciiTheme="majorBidi" w:hAnsiTheme="majorBidi" w:cstheme="majorBidi"/>
          <w:sz w:val="24"/>
          <w:szCs w:val="24"/>
          <w:lang w:eastAsia="fr-FR"/>
        </w:rPr>
      </w:pPr>
      <w:r>
        <w:rPr>
          <w:rFonts w:asciiTheme="majorBidi" w:hAnsiTheme="majorBidi" w:cstheme="majorBidi"/>
          <w:b/>
          <w:bCs/>
          <w:sz w:val="24"/>
          <w:szCs w:val="24"/>
          <w:lang w:eastAsia="fr-FR"/>
        </w:rPr>
        <w:t>Zidani A</w:t>
      </w:r>
      <w:r>
        <w:rPr>
          <w:rFonts w:asciiTheme="majorBidi" w:hAnsiTheme="majorBidi" w:cstheme="majorBidi"/>
          <w:sz w:val="24"/>
          <w:szCs w:val="24"/>
          <w:lang w:eastAsia="fr-FR"/>
        </w:rPr>
        <w:t>. Diagnostic biologique, histologique et physiopathologie de l’hépatite C chez des malades de la région de BATNA. 2011. p 12-20.</w:t>
      </w:r>
    </w:p>
    <w:p w:rsidR="006D2195" w:rsidRDefault="006D2195" w:rsidP="006D2195">
      <w:pPr>
        <w:autoSpaceDE w:val="0"/>
        <w:autoSpaceDN w:val="0"/>
        <w:adjustRightInd w:val="0"/>
        <w:spacing w:after="0" w:line="360" w:lineRule="auto"/>
        <w:jc w:val="both"/>
        <w:rPr>
          <w:rFonts w:asciiTheme="majorBidi" w:eastAsia="Times New Roman" w:hAnsiTheme="majorBidi" w:cstheme="majorBidi"/>
          <w:sz w:val="24"/>
          <w:szCs w:val="24"/>
          <w:lang w:eastAsia="fr-FR"/>
        </w:rPr>
      </w:pPr>
    </w:p>
    <w:p w:rsidR="00800CDF" w:rsidRDefault="00800CDF" w:rsidP="00C91FA9">
      <w:pPr>
        <w:spacing w:line="360" w:lineRule="auto"/>
        <w:ind w:firstLine="708"/>
        <w:jc w:val="center"/>
        <w:rPr>
          <w:rFonts w:asciiTheme="majorBidi" w:hAnsiTheme="majorBidi" w:cstheme="majorBidi"/>
          <w:b/>
          <w:bCs/>
          <w:color w:val="7030A0"/>
          <w:sz w:val="48"/>
          <w:szCs w:val="48"/>
        </w:rPr>
        <w:sectPr w:rsidR="00800CDF" w:rsidSect="00532E6D">
          <w:footerReference w:type="default" r:id="rId81"/>
          <w:pgSz w:w="11906" w:h="16838"/>
          <w:pgMar w:top="1134" w:right="1134" w:bottom="1134" w:left="1418" w:header="397" w:footer="680" w:gutter="0"/>
          <w:pgNumType w:start="56"/>
          <w:cols w:space="708"/>
          <w:docGrid w:linePitch="360"/>
        </w:sectPr>
      </w:pPr>
    </w:p>
    <w:p w:rsidR="00800CDF" w:rsidRDefault="00800CDF" w:rsidP="00C91FA9">
      <w:pPr>
        <w:spacing w:line="360" w:lineRule="auto"/>
        <w:ind w:firstLine="708"/>
        <w:jc w:val="center"/>
        <w:rPr>
          <w:rFonts w:asciiTheme="majorBidi" w:hAnsiTheme="majorBidi" w:cstheme="majorBidi"/>
          <w:b/>
          <w:bCs/>
          <w:i/>
          <w:iCs/>
          <w:color w:val="7030A0"/>
          <w:sz w:val="72"/>
          <w:szCs w:val="72"/>
        </w:rPr>
      </w:pPr>
    </w:p>
    <w:p w:rsidR="00800CDF" w:rsidRDefault="00800CDF" w:rsidP="00C91FA9">
      <w:pPr>
        <w:spacing w:line="360" w:lineRule="auto"/>
        <w:ind w:firstLine="708"/>
        <w:jc w:val="center"/>
        <w:rPr>
          <w:rFonts w:asciiTheme="majorBidi" w:hAnsiTheme="majorBidi" w:cstheme="majorBidi"/>
          <w:b/>
          <w:bCs/>
          <w:i/>
          <w:iCs/>
          <w:color w:val="7030A0"/>
          <w:sz w:val="72"/>
          <w:szCs w:val="72"/>
        </w:rPr>
      </w:pPr>
    </w:p>
    <w:p w:rsidR="00800CDF" w:rsidRDefault="00800CDF" w:rsidP="00C91FA9">
      <w:pPr>
        <w:spacing w:line="360" w:lineRule="auto"/>
        <w:ind w:firstLine="708"/>
        <w:jc w:val="center"/>
        <w:rPr>
          <w:rFonts w:asciiTheme="majorBidi" w:hAnsiTheme="majorBidi" w:cstheme="majorBidi"/>
          <w:b/>
          <w:bCs/>
          <w:i/>
          <w:iCs/>
          <w:color w:val="7030A0"/>
          <w:sz w:val="72"/>
          <w:szCs w:val="72"/>
        </w:rPr>
      </w:pPr>
    </w:p>
    <w:p w:rsidR="00800CDF" w:rsidRDefault="00800CDF" w:rsidP="00C91FA9">
      <w:pPr>
        <w:spacing w:line="360" w:lineRule="auto"/>
        <w:ind w:firstLine="708"/>
        <w:jc w:val="center"/>
        <w:rPr>
          <w:rFonts w:asciiTheme="majorBidi" w:hAnsiTheme="majorBidi" w:cstheme="majorBidi"/>
          <w:b/>
          <w:bCs/>
          <w:i/>
          <w:iCs/>
          <w:color w:val="7030A0"/>
          <w:sz w:val="72"/>
          <w:szCs w:val="72"/>
        </w:rPr>
      </w:pPr>
    </w:p>
    <w:p w:rsidR="00800CDF" w:rsidRDefault="00800CDF" w:rsidP="00C91FA9">
      <w:pPr>
        <w:spacing w:line="360" w:lineRule="auto"/>
        <w:ind w:firstLine="708"/>
        <w:jc w:val="center"/>
        <w:rPr>
          <w:rFonts w:asciiTheme="majorBidi" w:hAnsiTheme="majorBidi" w:cstheme="majorBidi"/>
          <w:b/>
          <w:bCs/>
          <w:i/>
          <w:iCs/>
          <w:color w:val="7030A0"/>
          <w:sz w:val="72"/>
          <w:szCs w:val="72"/>
        </w:rPr>
      </w:pPr>
      <w:r w:rsidRPr="00800CDF">
        <w:rPr>
          <w:rFonts w:asciiTheme="majorBidi" w:hAnsiTheme="majorBidi" w:cstheme="majorBidi"/>
          <w:b/>
          <w:bCs/>
          <w:i/>
          <w:iCs/>
          <w:color w:val="7030A0"/>
          <w:sz w:val="72"/>
          <w:szCs w:val="72"/>
        </w:rPr>
        <w:t xml:space="preserve">Annexe </w:t>
      </w:r>
    </w:p>
    <w:p w:rsidR="00800CDF" w:rsidRDefault="00800CDF" w:rsidP="00C91FA9">
      <w:pPr>
        <w:spacing w:line="360" w:lineRule="auto"/>
        <w:ind w:firstLine="708"/>
        <w:jc w:val="center"/>
        <w:rPr>
          <w:rFonts w:asciiTheme="majorBidi" w:hAnsiTheme="majorBidi" w:cstheme="majorBidi"/>
          <w:b/>
          <w:bCs/>
          <w:i/>
          <w:iCs/>
          <w:color w:val="7030A0"/>
          <w:sz w:val="72"/>
          <w:szCs w:val="72"/>
        </w:rPr>
      </w:pPr>
    </w:p>
    <w:p w:rsidR="00800CDF" w:rsidRDefault="00800CDF" w:rsidP="00C91FA9">
      <w:pPr>
        <w:spacing w:line="360" w:lineRule="auto"/>
        <w:ind w:firstLine="708"/>
        <w:jc w:val="center"/>
        <w:rPr>
          <w:rFonts w:asciiTheme="majorBidi" w:hAnsiTheme="majorBidi" w:cstheme="majorBidi"/>
          <w:b/>
          <w:bCs/>
          <w:i/>
          <w:iCs/>
          <w:color w:val="7030A0"/>
          <w:sz w:val="72"/>
          <w:szCs w:val="72"/>
        </w:rPr>
      </w:pPr>
    </w:p>
    <w:p w:rsidR="00800CDF" w:rsidRDefault="00800CDF" w:rsidP="00C91FA9">
      <w:pPr>
        <w:spacing w:line="360" w:lineRule="auto"/>
        <w:ind w:firstLine="708"/>
        <w:jc w:val="center"/>
        <w:rPr>
          <w:rFonts w:asciiTheme="majorBidi" w:hAnsiTheme="majorBidi" w:cstheme="majorBidi"/>
          <w:b/>
          <w:bCs/>
          <w:i/>
          <w:iCs/>
          <w:color w:val="7030A0"/>
          <w:sz w:val="72"/>
          <w:szCs w:val="72"/>
        </w:rPr>
      </w:pPr>
    </w:p>
    <w:p w:rsidR="00800CDF" w:rsidRDefault="00800CDF" w:rsidP="00C91FA9">
      <w:pPr>
        <w:spacing w:line="360" w:lineRule="auto"/>
        <w:ind w:firstLine="708"/>
        <w:jc w:val="center"/>
        <w:rPr>
          <w:rFonts w:asciiTheme="majorBidi" w:hAnsiTheme="majorBidi" w:cstheme="majorBidi"/>
          <w:b/>
          <w:bCs/>
          <w:i/>
          <w:iCs/>
          <w:color w:val="7030A0"/>
          <w:sz w:val="72"/>
          <w:szCs w:val="72"/>
        </w:rPr>
      </w:pPr>
    </w:p>
    <w:p w:rsidR="00800CDF" w:rsidRDefault="00800CDF" w:rsidP="00C91FA9">
      <w:pPr>
        <w:spacing w:line="360" w:lineRule="auto"/>
        <w:ind w:firstLine="708"/>
        <w:jc w:val="center"/>
        <w:rPr>
          <w:rFonts w:asciiTheme="majorBidi" w:hAnsiTheme="majorBidi" w:cstheme="majorBidi"/>
          <w:b/>
          <w:bCs/>
          <w:i/>
          <w:iCs/>
          <w:color w:val="7030A0"/>
          <w:sz w:val="24"/>
          <w:szCs w:val="24"/>
        </w:rPr>
      </w:pPr>
    </w:p>
    <w:p w:rsidR="00800CDF" w:rsidRDefault="00800CDF" w:rsidP="00C91FA9">
      <w:pPr>
        <w:spacing w:line="360" w:lineRule="auto"/>
        <w:ind w:firstLine="708"/>
        <w:jc w:val="center"/>
        <w:rPr>
          <w:rFonts w:asciiTheme="majorBidi" w:hAnsiTheme="majorBidi" w:cstheme="majorBidi"/>
          <w:b/>
          <w:bCs/>
          <w:i/>
          <w:iCs/>
          <w:color w:val="7030A0"/>
          <w:sz w:val="24"/>
          <w:szCs w:val="24"/>
        </w:rPr>
      </w:pPr>
    </w:p>
    <w:p w:rsidR="00800CDF" w:rsidRPr="00800CDF" w:rsidRDefault="00800CDF" w:rsidP="00C91FA9">
      <w:pPr>
        <w:spacing w:line="360" w:lineRule="auto"/>
        <w:ind w:firstLine="708"/>
        <w:jc w:val="center"/>
        <w:rPr>
          <w:rFonts w:asciiTheme="majorBidi" w:hAnsiTheme="majorBidi" w:cstheme="majorBidi"/>
          <w:b/>
          <w:bCs/>
          <w:i/>
          <w:iCs/>
          <w:color w:val="7030A0"/>
          <w:sz w:val="24"/>
          <w:szCs w:val="24"/>
        </w:rPr>
      </w:pPr>
    </w:p>
    <w:p w:rsidR="00800CDF" w:rsidRPr="00466DB7" w:rsidRDefault="00800CDF" w:rsidP="00800CDF">
      <w:pPr>
        <w:spacing w:line="240" w:lineRule="auto"/>
        <w:rPr>
          <w:rFonts w:asciiTheme="majorBidi" w:hAnsiTheme="majorBidi" w:cstheme="majorBidi"/>
          <w:b/>
          <w:sz w:val="24"/>
          <w:szCs w:val="24"/>
        </w:rPr>
      </w:pPr>
      <w:r w:rsidRPr="00466DB7">
        <w:rPr>
          <w:rFonts w:asciiTheme="majorBidi" w:hAnsiTheme="majorBidi" w:cstheme="majorBidi"/>
          <w:b/>
          <w:sz w:val="24"/>
          <w:szCs w:val="24"/>
        </w:rPr>
        <w:lastRenderedPageBreak/>
        <w:t>Université Larbi tébessi</w:t>
      </w:r>
    </w:p>
    <w:p w:rsidR="00800CDF" w:rsidRPr="00466DB7" w:rsidRDefault="00800CDF" w:rsidP="00800CDF">
      <w:pPr>
        <w:spacing w:line="240" w:lineRule="auto"/>
        <w:rPr>
          <w:rFonts w:asciiTheme="majorBidi" w:hAnsiTheme="majorBidi" w:cstheme="majorBidi"/>
          <w:b/>
          <w:sz w:val="24"/>
          <w:szCs w:val="24"/>
        </w:rPr>
      </w:pPr>
      <w:r w:rsidRPr="00466DB7">
        <w:rPr>
          <w:rFonts w:asciiTheme="majorBidi" w:hAnsiTheme="majorBidi" w:cstheme="majorBidi"/>
          <w:b/>
          <w:sz w:val="24"/>
          <w:szCs w:val="24"/>
        </w:rPr>
        <w:t>Faculté des sciences exactes et des sciences de la nature et de la vie</w:t>
      </w:r>
    </w:p>
    <w:p w:rsidR="00800CDF" w:rsidRPr="00466DB7" w:rsidRDefault="00800CDF" w:rsidP="00800CDF">
      <w:pPr>
        <w:spacing w:line="240" w:lineRule="auto"/>
        <w:rPr>
          <w:rFonts w:asciiTheme="majorBidi" w:hAnsiTheme="majorBidi" w:cstheme="majorBidi"/>
          <w:b/>
          <w:sz w:val="24"/>
          <w:szCs w:val="24"/>
        </w:rPr>
      </w:pPr>
      <w:r w:rsidRPr="00466DB7">
        <w:rPr>
          <w:rFonts w:asciiTheme="majorBidi" w:hAnsiTheme="majorBidi" w:cstheme="majorBidi"/>
          <w:b/>
          <w:sz w:val="24"/>
          <w:szCs w:val="24"/>
        </w:rPr>
        <w:t>Département de Biologie appliquée</w:t>
      </w:r>
    </w:p>
    <w:p w:rsidR="00800CDF" w:rsidRPr="00466DB7" w:rsidRDefault="006D2195" w:rsidP="00800CDF">
      <w:pPr>
        <w:jc w:val="center"/>
        <w:rPr>
          <w:rFonts w:ascii="Times New Roman" w:hAnsi="Times New Roman" w:cs="Times New Roman"/>
          <w:b/>
          <w:sz w:val="36"/>
          <w:szCs w:val="36"/>
          <w:u w:val="single"/>
        </w:rPr>
      </w:pPr>
      <w:r>
        <w:rPr>
          <w:rFonts w:ascii="Times New Roman" w:hAnsi="Times New Roman" w:cs="Times New Roman"/>
          <w:b/>
          <w:sz w:val="36"/>
          <w:szCs w:val="36"/>
          <w:u w:val="single"/>
        </w:rPr>
        <w:t>Fiche de Patient</w:t>
      </w:r>
      <w:r w:rsidR="00800CDF" w:rsidRPr="00466DB7">
        <w:rPr>
          <w:rFonts w:ascii="Times New Roman" w:hAnsi="Times New Roman" w:cs="Times New Roman"/>
          <w:b/>
          <w:sz w:val="36"/>
          <w:szCs w:val="36"/>
          <w:u w:val="single"/>
        </w:rPr>
        <w:t xml:space="preserve"> </w:t>
      </w:r>
    </w:p>
    <w:p w:rsidR="00800CDF" w:rsidRPr="00466DB7" w:rsidRDefault="00800CDF" w:rsidP="00800CDF">
      <w:pPr>
        <w:rPr>
          <w:rFonts w:ascii="Times New Roman" w:hAnsi="Times New Roman" w:cs="Times New Roman"/>
          <w:sz w:val="24"/>
          <w:szCs w:val="24"/>
        </w:rPr>
      </w:pPr>
    </w:p>
    <w:p w:rsidR="00800CDF" w:rsidRPr="00466DB7" w:rsidRDefault="00800CDF" w:rsidP="00800CDF">
      <w:pPr>
        <w:tabs>
          <w:tab w:val="left" w:pos="2835"/>
        </w:tabs>
        <w:rPr>
          <w:rFonts w:ascii="Times New Roman" w:hAnsi="Times New Roman" w:cs="Times New Roman"/>
          <w:sz w:val="24"/>
          <w:szCs w:val="24"/>
        </w:rPr>
      </w:pPr>
      <w:r w:rsidRPr="00466DB7">
        <w:rPr>
          <w:rFonts w:ascii="Times New Roman" w:hAnsi="Times New Roman" w:cs="Times New Roman"/>
          <w:sz w:val="24"/>
          <w:szCs w:val="24"/>
        </w:rPr>
        <w:t xml:space="preserve">Fiche n° : </w:t>
      </w:r>
      <w:r w:rsidRPr="00466DB7">
        <w:rPr>
          <w:rFonts w:ascii="Times New Roman" w:hAnsi="Times New Roman" w:cs="Times New Roman"/>
          <w:sz w:val="24"/>
          <w:szCs w:val="24"/>
        </w:rPr>
        <w:tab/>
        <w:t>Date :</w:t>
      </w:r>
    </w:p>
    <w:p w:rsidR="00800CDF" w:rsidRPr="00466DB7"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Nom et Prénom :</w:t>
      </w:r>
    </w:p>
    <w:p w:rsidR="00800CDF"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Sexe :                                     Age :</w:t>
      </w:r>
    </w:p>
    <w:p w:rsidR="00800CDF" w:rsidRDefault="00800CDF" w:rsidP="00800CDF">
      <w:pPr>
        <w:rPr>
          <w:rFonts w:asciiTheme="majorBidi" w:hAnsiTheme="majorBidi" w:cstheme="majorBidi"/>
          <w:sz w:val="24"/>
          <w:szCs w:val="24"/>
          <w:lang w:bidi="ar-DZ"/>
        </w:rPr>
      </w:pPr>
      <w:r>
        <w:rPr>
          <w:rFonts w:asciiTheme="majorBidi" w:hAnsiTheme="majorBidi" w:cstheme="majorBidi"/>
          <w:sz w:val="24"/>
          <w:szCs w:val="24"/>
          <w:lang w:bidi="ar-DZ"/>
        </w:rPr>
        <w:t>Date de la découverte de la maladie :                                 Risque de contamination :</w:t>
      </w:r>
    </w:p>
    <w:p w:rsidR="00800CDF" w:rsidRPr="00466DB7" w:rsidRDefault="00824C86" w:rsidP="00800CDF">
      <w:pPr>
        <w:rPr>
          <w:rFonts w:ascii="Times New Roman" w:hAnsi="Times New Roman" w:cs="Times New Roman"/>
          <w:sz w:val="24"/>
          <w:szCs w:val="24"/>
        </w:rPr>
      </w:pPr>
      <w:r>
        <w:rPr>
          <w:rFonts w:ascii="Times New Roman" w:hAnsi="Times New Roman" w:cs="Times New Roman"/>
          <w:noProof/>
          <w:sz w:val="24"/>
          <w:szCs w:val="24"/>
          <w:lang w:eastAsia="fr-FR"/>
        </w:rPr>
        <w:pict>
          <v:shapetype id="_x0000_t109" coordsize="21600,21600" o:spt="109" path="m,l,21600r21600,l21600,xe">
            <v:stroke joinstyle="miter"/>
            <v:path gradientshapeok="t" o:connecttype="rect"/>
          </v:shapetype>
          <v:shape id="Organigramme : Processus 17" o:spid="_x0000_s1036" type="#_x0000_t109" style="position:absolute;margin-left:174.35pt;margin-top:.8pt;width:11.25pt;height:11.3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" filled="f" strokecolor="black [3213]" strokeweight="2pt">
            <v:path arrowok="t"/>
          </v:shape>
        </w:pict>
      </w:r>
      <w:r>
        <w:rPr>
          <w:rFonts w:ascii="Times New Roman" w:hAnsi="Times New Roman" w:cs="Times New Roman"/>
          <w:noProof/>
          <w:sz w:val="24"/>
          <w:szCs w:val="24"/>
          <w:lang w:eastAsia="fr-FR"/>
        </w:rPr>
        <w:pict>
          <v:shape id="Organigramme : Processus 53" o:spid="_x0000_s1035" type="#_x0000_t109" style="position:absolute;margin-left:231.4pt;margin-top:.8pt;width:11.25pt;height:11.3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" filled="f" strokecolor="black [3213]" strokeweight="2pt">
            <v:path arrowok="t"/>
          </v:shape>
        </w:pict>
      </w:r>
      <w:r w:rsidR="00800CDF" w:rsidRPr="00466DB7">
        <w:rPr>
          <w:rFonts w:ascii="Times New Roman" w:hAnsi="Times New Roman" w:cs="Times New Roman"/>
          <w:sz w:val="24"/>
          <w:szCs w:val="24"/>
        </w:rPr>
        <w:t xml:space="preserve">Histoire familiale du diabète : Oui            Non    </w:t>
      </w:r>
    </w:p>
    <w:p w:rsidR="00800CDF" w:rsidRPr="00466DB7"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Taille :                                                          Poids :                                                 BMI :</w:t>
      </w:r>
    </w:p>
    <w:p w:rsidR="00800CDF"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Glycémie (à jeun) :</w:t>
      </w:r>
    </w:p>
    <w:p w:rsidR="00800CDF" w:rsidRPr="00466DB7" w:rsidRDefault="00800CDF" w:rsidP="00800CDF">
      <w:pPr>
        <w:rPr>
          <w:rFonts w:ascii="Times New Roman" w:hAnsi="Times New Roman" w:cs="Times New Roman"/>
          <w:sz w:val="24"/>
          <w:szCs w:val="24"/>
        </w:rPr>
      </w:pPr>
      <w:r>
        <w:rPr>
          <w:rFonts w:ascii="Times New Roman" w:hAnsi="Times New Roman" w:cs="Times New Roman"/>
          <w:sz w:val="24"/>
          <w:szCs w:val="24"/>
        </w:rPr>
        <w:t>Stade de fibrose :</w:t>
      </w:r>
    </w:p>
    <w:p w:rsidR="00800CDF" w:rsidRPr="00466DB7"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Bilan hépatique :</w:t>
      </w:r>
    </w:p>
    <w:tbl>
      <w:tblPr>
        <w:tblStyle w:val="Grilledutableau"/>
        <w:tblW w:w="10087" w:type="dxa"/>
        <w:tblLook w:val="04A0"/>
      </w:tblPr>
      <w:tblGrid>
        <w:gridCol w:w="1441"/>
        <w:gridCol w:w="1441"/>
        <w:gridCol w:w="1441"/>
        <w:gridCol w:w="1441"/>
        <w:gridCol w:w="1441"/>
        <w:gridCol w:w="1441"/>
        <w:gridCol w:w="1441"/>
      </w:tblGrid>
      <w:tr w:rsidR="00800CDF" w:rsidRPr="00466DB7" w:rsidTr="009E1290">
        <w:trPr>
          <w:trHeight w:val="733"/>
        </w:trPr>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TGO</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TGP</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Bilirubine </w:t>
            </w:r>
          </w:p>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totale </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Bilirubine </w:t>
            </w:r>
          </w:p>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direct</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Albumine </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PT</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Virémie initiale </w:t>
            </w:r>
          </w:p>
        </w:tc>
      </w:tr>
      <w:tr w:rsidR="00800CDF" w:rsidRPr="00466DB7" w:rsidTr="009E1290">
        <w:trPr>
          <w:trHeight w:val="775"/>
        </w:trPr>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r>
    </w:tbl>
    <w:p w:rsidR="00800CDF" w:rsidRPr="00466DB7" w:rsidRDefault="00800CDF" w:rsidP="00800CDF">
      <w:pPr>
        <w:rPr>
          <w:rFonts w:ascii="Times New Roman" w:hAnsi="Times New Roman" w:cs="Times New Roman"/>
          <w:sz w:val="24"/>
          <w:szCs w:val="24"/>
        </w:rPr>
      </w:pPr>
    </w:p>
    <w:tbl>
      <w:tblPr>
        <w:tblStyle w:val="Grilledutableau"/>
        <w:tblW w:w="10099" w:type="dxa"/>
        <w:tblLook w:val="04A0"/>
      </w:tblPr>
      <w:tblGrid>
        <w:gridCol w:w="1668"/>
        <w:gridCol w:w="1417"/>
        <w:gridCol w:w="1418"/>
        <w:gridCol w:w="1417"/>
        <w:gridCol w:w="1418"/>
        <w:gridCol w:w="2761"/>
      </w:tblGrid>
      <w:tr w:rsidR="00800CDF" w:rsidRPr="00466DB7" w:rsidTr="009E1290">
        <w:trPr>
          <w:trHeight w:val="644"/>
        </w:trPr>
        <w:tc>
          <w:tcPr>
            <w:tcW w:w="1668" w:type="dxa"/>
          </w:tcPr>
          <w:p w:rsidR="00800CDF" w:rsidRPr="00466DB7" w:rsidRDefault="00800CDF" w:rsidP="009E1290">
            <w:r w:rsidRPr="00466DB7">
              <w:t xml:space="preserve">Cholestérol </w:t>
            </w:r>
          </w:p>
        </w:tc>
        <w:tc>
          <w:tcPr>
            <w:tcW w:w="1417" w:type="dxa"/>
          </w:tcPr>
          <w:p w:rsidR="00800CDF" w:rsidRPr="00466DB7" w:rsidRDefault="00800CDF" w:rsidP="009E1290">
            <w:r w:rsidRPr="00466DB7">
              <w:t xml:space="preserve">Triglycéride </w:t>
            </w:r>
          </w:p>
        </w:tc>
        <w:tc>
          <w:tcPr>
            <w:tcW w:w="1418" w:type="dxa"/>
          </w:tcPr>
          <w:p w:rsidR="00800CDF" w:rsidRPr="00466DB7" w:rsidRDefault="00800CDF" w:rsidP="009E1290">
            <w:r w:rsidRPr="00466DB7">
              <w:t xml:space="preserve">HDL </w:t>
            </w:r>
          </w:p>
        </w:tc>
        <w:tc>
          <w:tcPr>
            <w:tcW w:w="1417" w:type="dxa"/>
          </w:tcPr>
          <w:p w:rsidR="00800CDF" w:rsidRPr="00466DB7" w:rsidRDefault="00800CDF" w:rsidP="009E1290">
            <w:r w:rsidRPr="00466DB7">
              <w:t>LDL</w:t>
            </w:r>
          </w:p>
        </w:tc>
        <w:tc>
          <w:tcPr>
            <w:tcW w:w="1418" w:type="dxa"/>
          </w:tcPr>
          <w:p w:rsidR="00800CDF" w:rsidRPr="00466DB7" w:rsidRDefault="00800CDF" w:rsidP="009E1290">
            <w:r w:rsidRPr="00466DB7">
              <w:t xml:space="preserve">TA </w:t>
            </w:r>
          </w:p>
        </w:tc>
        <w:tc>
          <w:tcPr>
            <w:tcW w:w="2761" w:type="dxa"/>
          </w:tcPr>
          <w:p w:rsidR="00800CDF" w:rsidRPr="00466DB7" w:rsidRDefault="00800CDF" w:rsidP="009E1290">
            <w:pPr>
              <w:pStyle w:val="Default"/>
              <w:rPr>
                <w:color w:val="auto"/>
              </w:rPr>
            </w:pPr>
            <w:r w:rsidRPr="00466DB7">
              <w:rPr>
                <w:color w:val="auto"/>
              </w:rPr>
              <w:t xml:space="preserve">Bilan thyroïdien </w:t>
            </w:r>
          </w:p>
          <w:p w:rsidR="00800CDF" w:rsidRPr="00466DB7" w:rsidRDefault="00800CDF" w:rsidP="009E1290"/>
        </w:tc>
      </w:tr>
      <w:tr w:rsidR="00800CDF" w:rsidRPr="00466DB7" w:rsidTr="009E1290">
        <w:trPr>
          <w:trHeight w:val="682"/>
        </w:trPr>
        <w:tc>
          <w:tcPr>
            <w:tcW w:w="1668" w:type="dxa"/>
          </w:tcPr>
          <w:p w:rsidR="00800CDF" w:rsidRPr="00466DB7" w:rsidRDefault="00800CDF" w:rsidP="009E1290"/>
        </w:tc>
        <w:tc>
          <w:tcPr>
            <w:tcW w:w="1417" w:type="dxa"/>
          </w:tcPr>
          <w:p w:rsidR="00800CDF" w:rsidRPr="00466DB7" w:rsidRDefault="00800CDF" w:rsidP="009E1290"/>
        </w:tc>
        <w:tc>
          <w:tcPr>
            <w:tcW w:w="1418" w:type="dxa"/>
          </w:tcPr>
          <w:p w:rsidR="00800CDF" w:rsidRPr="00466DB7" w:rsidRDefault="00800CDF" w:rsidP="009E1290"/>
        </w:tc>
        <w:tc>
          <w:tcPr>
            <w:tcW w:w="1417" w:type="dxa"/>
          </w:tcPr>
          <w:p w:rsidR="00800CDF" w:rsidRPr="00466DB7" w:rsidRDefault="00800CDF" w:rsidP="009E1290"/>
        </w:tc>
        <w:tc>
          <w:tcPr>
            <w:tcW w:w="1418" w:type="dxa"/>
          </w:tcPr>
          <w:p w:rsidR="00800CDF" w:rsidRPr="00466DB7" w:rsidRDefault="00800CDF" w:rsidP="009E1290"/>
        </w:tc>
        <w:tc>
          <w:tcPr>
            <w:tcW w:w="2761" w:type="dxa"/>
          </w:tcPr>
          <w:p w:rsidR="00800CDF" w:rsidRPr="00466DB7" w:rsidRDefault="00800CDF" w:rsidP="009E1290"/>
        </w:tc>
      </w:tr>
    </w:tbl>
    <w:p w:rsidR="00800CDF" w:rsidRPr="00466DB7" w:rsidRDefault="00800CDF" w:rsidP="00800CDF"/>
    <w:p w:rsidR="00800CDF" w:rsidRPr="00466DB7" w:rsidRDefault="00800CDF" w:rsidP="00800CDF">
      <w:r w:rsidRPr="00466DB7">
        <w:rPr>
          <w:rFonts w:ascii="Times New Roman" w:hAnsi="Times New Roman" w:cs="Times New Roman"/>
          <w:b/>
          <w:bCs/>
          <w:i/>
          <w:iCs/>
        </w:rPr>
        <w:t>Autre information trouvées dans le dossier</w:t>
      </w:r>
      <w:r w:rsidRPr="00466DB7">
        <w:t> :</w:t>
      </w:r>
    </w:p>
    <w:p w:rsidR="00800CDF" w:rsidRPr="00466DB7" w:rsidRDefault="00800CDF" w:rsidP="00800CDF">
      <w:pPr>
        <w:pStyle w:val="Paragraphedeliste"/>
        <w:numPr>
          <w:ilvl w:val="0"/>
          <w:numId w:val="52"/>
        </w:numPr>
      </w:pPr>
      <w:r w:rsidRPr="00466DB7">
        <w:t>Maladies associées :</w:t>
      </w:r>
    </w:p>
    <w:p w:rsidR="00800CDF" w:rsidRPr="00E838F4" w:rsidRDefault="00800CDF" w:rsidP="00800CDF">
      <w:pPr>
        <w:rPr>
          <w:color w:val="1F497D" w:themeColor="text2"/>
        </w:rPr>
      </w:pPr>
    </w:p>
    <w:p w:rsidR="00800CDF" w:rsidRDefault="00800CDF" w:rsidP="00C91FA9">
      <w:pPr>
        <w:spacing w:line="360" w:lineRule="auto"/>
        <w:ind w:firstLine="708"/>
        <w:jc w:val="center"/>
        <w:rPr>
          <w:rFonts w:asciiTheme="majorBidi" w:hAnsiTheme="majorBidi" w:cstheme="majorBidi"/>
          <w:b/>
          <w:bCs/>
          <w:i/>
          <w:iCs/>
          <w:color w:val="7030A0"/>
          <w:sz w:val="72"/>
          <w:szCs w:val="72"/>
        </w:rPr>
        <w:sectPr w:rsidR="00800CDF" w:rsidSect="00532E6D">
          <w:pgSz w:w="11906" w:h="16838"/>
          <w:pgMar w:top="1134" w:right="1134" w:bottom="1134" w:left="1418" w:header="397" w:footer="680" w:gutter="0"/>
          <w:pgNumType w:start="56"/>
          <w:cols w:space="708"/>
          <w:docGrid w:linePitch="360"/>
        </w:sectPr>
      </w:pPr>
    </w:p>
    <w:p w:rsidR="00800CDF" w:rsidRPr="00466DB7" w:rsidRDefault="00800CDF" w:rsidP="00800CDF">
      <w:pPr>
        <w:spacing w:line="240" w:lineRule="auto"/>
        <w:rPr>
          <w:rFonts w:asciiTheme="majorBidi" w:hAnsiTheme="majorBidi" w:cstheme="majorBidi"/>
          <w:b/>
          <w:sz w:val="24"/>
          <w:szCs w:val="24"/>
        </w:rPr>
      </w:pPr>
      <w:r w:rsidRPr="00466DB7">
        <w:rPr>
          <w:rFonts w:asciiTheme="majorBidi" w:hAnsiTheme="majorBidi" w:cstheme="majorBidi"/>
          <w:b/>
          <w:sz w:val="24"/>
          <w:szCs w:val="24"/>
        </w:rPr>
        <w:lastRenderedPageBreak/>
        <w:t>Université Larbi tébessi</w:t>
      </w:r>
    </w:p>
    <w:p w:rsidR="00800CDF" w:rsidRPr="00466DB7" w:rsidRDefault="00800CDF" w:rsidP="00800CDF">
      <w:pPr>
        <w:spacing w:line="240" w:lineRule="auto"/>
        <w:rPr>
          <w:rFonts w:asciiTheme="majorBidi" w:hAnsiTheme="majorBidi" w:cstheme="majorBidi"/>
          <w:b/>
          <w:sz w:val="24"/>
          <w:szCs w:val="24"/>
        </w:rPr>
      </w:pPr>
      <w:r w:rsidRPr="00466DB7">
        <w:rPr>
          <w:rFonts w:asciiTheme="majorBidi" w:hAnsiTheme="majorBidi" w:cstheme="majorBidi"/>
          <w:b/>
          <w:sz w:val="24"/>
          <w:szCs w:val="24"/>
        </w:rPr>
        <w:t>Faculté des sciences exactes et des sciences de la nature et de la vie</w:t>
      </w:r>
    </w:p>
    <w:p w:rsidR="00800CDF" w:rsidRPr="00466DB7" w:rsidRDefault="00800CDF" w:rsidP="00800CDF">
      <w:pPr>
        <w:spacing w:line="240" w:lineRule="auto"/>
        <w:rPr>
          <w:rFonts w:asciiTheme="majorBidi" w:hAnsiTheme="majorBidi" w:cstheme="majorBidi"/>
          <w:b/>
          <w:sz w:val="24"/>
          <w:szCs w:val="24"/>
        </w:rPr>
      </w:pPr>
      <w:r w:rsidRPr="00466DB7">
        <w:rPr>
          <w:rFonts w:asciiTheme="majorBidi" w:hAnsiTheme="majorBidi" w:cstheme="majorBidi"/>
          <w:b/>
          <w:sz w:val="24"/>
          <w:szCs w:val="24"/>
        </w:rPr>
        <w:t>Département de Biologie appliquée</w:t>
      </w:r>
    </w:p>
    <w:p w:rsidR="00800CDF" w:rsidRPr="00466DB7" w:rsidRDefault="00800CDF" w:rsidP="00800CDF">
      <w:pPr>
        <w:jc w:val="center"/>
        <w:rPr>
          <w:rFonts w:ascii="Times New Roman" w:hAnsi="Times New Roman" w:cs="Times New Roman"/>
          <w:b/>
          <w:sz w:val="36"/>
          <w:szCs w:val="36"/>
          <w:u w:val="single"/>
        </w:rPr>
      </w:pPr>
      <w:r w:rsidRPr="00466DB7">
        <w:rPr>
          <w:rFonts w:ascii="Times New Roman" w:hAnsi="Times New Roman" w:cs="Times New Roman"/>
          <w:b/>
          <w:sz w:val="36"/>
          <w:szCs w:val="36"/>
          <w:u w:val="single"/>
        </w:rPr>
        <w:t xml:space="preserve">Fiche de Témoin </w:t>
      </w:r>
    </w:p>
    <w:p w:rsidR="00800CDF" w:rsidRPr="00466DB7" w:rsidRDefault="00800CDF" w:rsidP="00800CDF">
      <w:pPr>
        <w:rPr>
          <w:rFonts w:ascii="Times New Roman" w:hAnsi="Times New Roman" w:cs="Times New Roman"/>
          <w:sz w:val="24"/>
          <w:szCs w:val="24"/>
        </w:rPr>
      </w:pPr>
    </w:p>
    <w:p w:rsidR="00800CDF" w:rsidRPr="00466DB7" w:rsidRDefault="00800CDF" w:rsidP="00800CDF">
      <w:pPr>
        <w:tabs>
          <w:tab w:val="left" w:pos="2835"/>
        </w:tabs>
        <w:rPr>
          <w:rFonts w:ascii="Times New Roman" w:hAnsi="Times New Roman" w:cs="Times New Roman"/>
          <w:sz w:val="24"/>
          <w:szCs w:val="24"/>
        </w:rPr>
      </w:pPr>
      <w:r w:rsidRPr="00466DB7">
        <w:rPr>
          <w:rFonts w:ascii="Times New Roman" w:hAnsi="Times New Roman" w:cs="Times New Roman"/>
          <w:sz w:val="24"/>
          <w:szCs w:val="24"/>
        </w:rPr>
        <w:t xml:space="preserve">Fiche n° : </w:t>
      </w:r>
      <w:r w:rsidRPr="00466DB7">
        <w:rPr>
          <w:rFonts w:ascii="Times New Roman" w:hAnsi="Times New Roman" w:cs="Times New Roman"/>
          <w:sz w:val="24"/>
          <w:szCs w:val="24"/>
        </w:rPr>
        <w:tab/>
        <w:t>Date :</w:t>
      </w:r>
    </w:p>
    <w:p w:rsidR="00800CDF" w:rsidRPr="00466DB7"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Nom et Prénom :</w:t>
      </w:r>
    </w:p>
    <w:p w:rsidR="00800CDF" w:rsidRPr="00466DB7"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Sexe :                                     Age :</w:t>
      </w:r>
    </w:p>
    <w:p w:rsidR="00800CDF" w:rsidRPr="00466DB7" w:rsidRDefault="00824C86" w:rsidP="00800CDF">
      <w:pPr>
        <w:rPr>
          <w:rFonts w:ascii="Times New Roman" w:hAnsi="Times New Roman" w:cs="Times New Roman"/>
          <w:sz w:val="24"/>
          <w:szCs w:val="24"/>
        </w:rPr>
      </w:pPr>
      <w:r>
        <w:rPr>
          <w:rFonts w:ascii="Times New Roman" w:hAnsi="Times New Roman" w:cs="Times New Roman"/>
          <w:noProof/>
          <w:sz w:val="24"/>
          <w:szCs w:val="24"/>
          <w:lang w:eastAsia="fr-FR"/>
        </w:rPr>
        <w:pict>
          <v:shape id="Organigramme : Processus 14" o:spid="_x0000_s1034" type="#_x0000_t109" style="position:absolute;margin-left:174.35pt;margin-top:.8pt;width:11.25pt;height:11.3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" filled="f" strokecolor="black [3213]" strokeweight="2pt">
            <v:path arrowok="t"/>
          </v:shape>
        </w:pict>
      </w:r>
      <w:r>
        <w:rPr>
          <w:rFonts w:ascii="Times New Roman" w:hAnsi="Times New Roman" w:cs="Times New Roman"/>
          <w:noProof/>
          <w:sz w:val="24"/>
          <w:szCs w:val="24"/>
          <w:lang w:eastAsia="fr-FR"/>
        </w:rPr>
        <w:pict>
          <v:shape id="Organigramme : Processus 16" o:spid="_x0000_s1033" type="#_x0000_t109" style="position:absolute;margin-left:231.4pt;margin-top:.8pt;width:11.25pt;height:11.3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" filled="f" strokecolor="black [3213]" strokeweight="2pt">
            <v:path arrowok="t"/>
          </v:shape>
        </w:pict>
      </w:r>
      <w:r w:rsidR="00800CDF" w:rsidRPr="00466DB7">
        <w:rPr>
          <w:rFonts w:ascii="Times New Roman" w:hAnsi="Times New Roman" w:cs="Times New Roman"/>
          <w:sz w:val="24"/>
          <w:szCs w:val="24"/>
        </w:rPr>
        <w:t xml:space="preserve">Histoire familiale du diabète : Oui            Non    </w:t>
      </w:r>
    </w:p>
    <w:p w:rsidR="00800CDF" w:rsidRPr="00466DB7"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Taille :                                                          Poids :                                                 BMI :</w:t>
      </w:r>
    </w:p>
    <w:p w:rsidR="00800CDF" w:rsidRPr="00466DB7"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Glycémie (à jeun) :</w:t>
      </w:r>
    </w:p>
    <w:p w:rsidR="00800CDF" w:rsidRPr="00466DB7" w:rsidRDefault="00800CDF" w:rsidP="00800CDF">
      <w:pPr>
        <w:rPr>
          <w:rFonts w:ascii="Times New Roman" w:hAnsi="Times New Roman" w:cs="Times New Roman"/>
          <w:sz w:val="24"/>
          <w:szCs w:val="24"/>
        </w:rPr>
      </w:pPr>
      <w:r w:rsidRPr="00466DB7">
        <w:rPr>
          <w:rFonts w:ascii="Times New Roman" w:hAnsi="Times New Roman" w:cs="Times New Roman"/>
          <w:sz w:val="24"/>
          <w:szCs w:val="24"/>
        </w:rPr>
        <w:t>Bilan hépatique :</w:t>
      </w:r>
    </w:p>
    <w:tbl>
      <w:tblPr>
        <w:tblStyle w:val="Grilledutableau"/>
        <w:tblW w:w="10087" w:type="dxa"/>
        <w:tblLook w:val="04A0"/>
      </w:tblPr>
      <w:tblGrid>
        <w:gridCol w:w="1441"/>
        <w:gridCol w:w="1441"/>
        <w:gridCol w:w="1441"/>
        <w:gridCol w:w="1441"/>
        <w:gridCol w:w="1441"/>
        <w:gridCol w:w="1441"/>
        <w:gridCol w:w="1441"/>
      </w:tblGrid>
      <w:tr w:rsidR="00800CDF" w:rsidRPr="00466DB7" w:rsidTr="00800CDF">
        <w:trPr>
          <w:trHeight w:val="733"/>
        </w:trPr>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TGO</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TGP</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Bilirubine </w:t>
            </w:r>
          </w:p>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totale </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Bilirubine </w:t>
            </w:r>
          </w:p>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direct</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Albumine </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PT</w:t>
            </w:r>
          </w:p>
        </w:tc>
        <w:tc>
          <w:tcPr>
            <w:tcW w:w="1441" w:type="dxa"/>
          </w:tcPr>
          <w:p w:rsidR="00800CDF" w:rsidRPr="00466DB7" w:rsidRDefault="00800CDF" w:rsidP="009E1290">
            <w:pPr>
              <w:rPr>
                <w:rFonts w:ascii="Times New Roman" w:hAnsi="Times New Roman" w:cs="Times New Roman"/>
                <w:sz w:val="24"/>
                <w:szCs w:val="24"/>
              </w:rPr>
            </w:pPr>
            <w:r w:rsidRPr="00466DB7">
              <w:rPr>
                <w:rFonts w:ascii="Times New Roman" w:hAnsi="Times New Roman" w:cs="Times New Roman"/>
                <w:sz w:val="24"/>
                <w:szCs w:val="24"/>
              </w:rPr>
              <w:t xml:space="preserve">Virémie initiale </w:t>
            </w:r>
          </w:p>
        </w:tc>
      </w:tr>
      <w:tr w:rsidR="00800CDF" w:rsidRPr="00466DB7" w:rsidTr="00800CDF">
        <w:trPr>
          <w:trHeight w:val="775"/>
        </w:trPr>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c>
          <w:tcPr>
            <w:tcW w:w="1441" w:type="dxa"/>
          </w:tcPr>
          <w:p w:rsidR="00800CDF" w:rsidRPr="00466DB7" w:rsidRDefault="00800CDF" w:rsidP="009E1290">
            <w:pPr>
              <w:rPr>
                <w:rFonts w:ascii="Times New Roman" w:hAnsi="Times New Roman" w:cs="Times New Roman"/>
                <w:sz w:val="24"/>
                <w:szCs w:val="24"/>
              </w:rPr>
            </w:pPr>
          </w:p>
        </w:tc>
      </w:tr>
    </w:tbl>
    <w:p w:rsidR="00800CDF" w:rsidRPr="00466DB7" w:rsidRDefault="00800CDF" w:rsidP="00800CDF">
      <w:pPr>
        <w:rPr>
          <w:rFonts w:ascii="Times New Roman" w:hAnsi="Times New Roman" w:cs="Times New Roman"/>
          <w:sz w:val="24"/>
          <w:szCs w:val="24"/>
        </w:rPr>
      </w:pPr>
    </w:p>
    <w:tbl>
      <w:tblPr>
        <w:tblStyle w:val="Grilledutableau"/>
        <w:tblW w:w="10099" w:type="dxa"/>
        <w:tblLook w:val="04A0"/>
      </w:tblPr>
      <w:tblGrid>
        <w:gridCol w:w="1668"/>
        <w:gridCol w:w="1417"/>
        <w:gridCol w:w="1418"/>
        <w:gridCol w:w="1417"/>
        <w:gridCol w:w="1418"/>
        <w:gridCol w:w="2761"/>
      </w:tblGrid>
      <w:tr w:rsidR="00800CDF" w:rsidRPr="00466DB7" w:rsidTr="00800CDF">
        <w:trPr>
          <w:trHeight w:val="644"/>
        </w:trPr>
        <w:tc>
          <w:tcPr>
            <w:tcW w:w="1668" w:type="dxa"/>
          </w:tcPr>
          <w:p w:rsidR="00800CDF" w:rsidRPr="00466DB7" w:rsidRDefault="00800CDF" w:rsidP="009E1290">
            <w:r w:rsidRPr="00466DB7">
              <w:t xml:space="preserve">Cholestérol </w:t>
            </w:r>
          </w:p>
        </w:tc>
        <w:tc>
          <w:tcPr>
            <w:tcW w:w="1417" w:type="dxa"/>
          </w:tcPr>
          <w:p w:rsidR="00800CDF" w:rsidRPr="00466DB7" w:rsidRDefault="00800CDF" w:rsidP="009E1290">
            <w:r w:rsidRPr="00466DB7">
              <w:t xml:space="preserve">Triglycéride </w:t>
            </w:r>
          </w:p>
        </w:tc>
        <w:tc>
          <w:tcPr>
            <w:tcW w:w="1418" w:type="dxa"/>
          </w:tcPr>
          <w:p w:rsidR="00800CDF" w:rsidRPr="00466DB7" w:rsidRDefault="00800CDF" w:rsidP="009E1290">
            <w:r w:rsidRPr="00466DB7">
              <w:t xml:space="preserve">HDL </w:t>
            </w:r>
          </w:p>
        </w:tc>
        <w:tc>
          <w:tcPr>
            <w:tcW w:w="1417" w:type="dxa"/>
          </w:tcPr>
          <w:p w:rsidR="00800CDF" w:rsidRPr="00466DB7" w:rsidRDefault="00800CDF" w:rsidP="009E1290">
            <w:r w:rsidRPr="00466DB7">
              <w:t>LDL</w:t>
            </w:r>
          </w:p>
        </w:tc>
        <w:tc>
          <w:tcPr>
            <w:tcW w:w="1418" w:type="dxa"/>
          </w:tcPr>
          <w:p w:rsidR="00800CDF" w:rsidRPr="00466DB7" w:rsidRDefault="00800CDF" w:rsidP="009E1290">
            <w:r w:rsidRPr="00466DB7">
              <w:t xml:space="preserve">TA </w:t>
            </w:r>
          </w:p>
        </w:tc>
        <w:tc>
          <w:tcPr>
            <w:tcW w:w="2761" w:type="dxa"/>
          </w:tcPr>
          <w:p w:rsidR="00800CDF" w:rsidRPr="00466DB7" w:rsidRDefault="00800CDF" w:rsidP="009E1290">
            <w:pPr>
              <w:pStyle w:val="Default"/>
              <w:rPr>
                <w:color w:val="auto"/>
              </w:rPr>
            </w:pPr>
            <w:r w:rsidRPr="00466DB7">
              <w:rPr>
                <w:color w:val="auto"/>
              </w:rPr>
              <w:t xml:space="preserve">Bilan thyroïdien </w:t>
            </w:r>
          </w:p>
          <w:p w:rsidR="00800CDF" w:rsidRPr="00466DB7" w:rsidRDefault="00800CDF" w:rsidP="009E1290"/>
        </w:tc>
      </w:tr>
      <w:tr w:rsidR="00800CDF" w:rsidRPr="00466DB7" w:rsidTr="00800CDF">
        <w:trPr>
          <w:trHeight w:val="682"/>
        </w:trPr>
        <w:tc>
          <w:tcPr>
            <w:tcW w:w="1668" w:type="dxa"/>
          </w:tcPr>
          <w:p w:rsidR="00800CDF" w:rsidRPr="00466DB7" w:rsidRDefault="00800CDF" w:rsidP="009E1290"/>
        </w:tc>
        <w:tc>
          <w:tcPr>
            <w:tcW w:w="1417" w:type="dxa"/>
          </w:tcPr>
          <w:p w:rsidR="00800CDF" w:rsidRPr="00466DB7" w:rsidRDefault="00800CDF" w:rsidP="009E1290"/>
        </w:tc>
        <w:tc>
          <w:tcPr>
            <w:tcW w:w="1418" w:type="dxa"/>
          </w:tcPr>
          <w:p w:rsidR="00800CDF" w:rsidRPr="00466DB7" w:rsidRDefault="00800CDF" w:rsidP="009E1290"/>
        </w:tc>
        <w:tc>
          <w:tcPr>
            <w:tcW w:w="1417" w:type="dxa"/>
          </w:tcPr>
          <w:p w:rsidR="00800CDF" w:rsidRPr="00466DB7" w:rsidRDefault="00800CDF" w:rsidP="009E1290"/>
        </w:tc>
        <w:tc>
          <w:tcPr>
            <w:tcW w:w="1418" w:type="dxa"/>
          </w:tcPr>
          <w:p w:rsidR="00800CDF" w:rsidRPr="00466DB7" w:rsidRDefault="00800CDF" w:rsidP="009E1290"/>
        </w:tc>
        <w:tc>
          <w:tcPr>
            <w:tcW w:w="2761" w:type="dxa"/>
          </w:tcPr>
          <w:p w:rsidR="00800CDF" w:rsidRPr="00466DB7" w:rsidRDefault="00800CDF" w:rsidP="009E1290"/>
        </w:tc>
      </w:tr>
    </w:tbl>
    <w:p w:rsidR="00800CDF" w:rsidRPr="00466DB7" w:rsidRDefault="00800CDF" w:rsidP="00800CDF"/>
    <w:p w:rsidR="00800CDF" w:rsidRPr="00466DB7" w:rsidRDefault="00800CDF" w:rsidP="00800CDF">
      <w:r w:rsidRPr="00466DB7">
        <w:rPr>
          <w:rFonts w:ascii="Times New Roman" w:hAnsi="Times New Roman" w:cs="Times New Roman"/>
          <w:b/>
          <w:bCs/>
          <w:i/>
          <w:iCs/>
        </w:rPr>
        <w:t>Autre information trouvées dans le dossier</w:t>
      </w:r>
      <w:r w:rsidRPr="00466DB7">
        <w:t> :</w:t>
      </w:r>
    </w:p>
    <w:p w:rsidR="00800CDF" w:rsidRPr="00466DB7" w:rsidRDefault="00800CDF" w:rsidP="00800CDF">
      <w:pPr>
        <w:pStyle w:val="Paragraphedeliste"/>
        <w:numPr>
          <w:ilvl w:val="0"/>
          <w:numId w:val="52"/>
        </w:numPr>
      </w:pPr>
      <w:r w:rsidRPr="00466DB7">
        <w:t>Maladies associées :</w:t>
      </w:r>
    </w:p>
    <w:p w:rsidR="00800CDF" w:rsidRPr="00E838F4" w:rsidRDefault="00800CDF" w:rsidP="00800CDF">
      <w:pPr>
        <w:rPr>
          <w:color w:val="1F497D" w:themeColor="text2"/>
        </w:rPr>
      </w:pPr>
    </w:p>
    <w:p w:rsidR="00C91FA9" w:rsidRPr="00800CDF" w:rsidRDefault="00C015E5" w:rsidP="00C91FA9">
      <w:pPr>
        <w:spacing w:line="360" w:lineRule="auto"/>
        <w:ind w:firstLine="708"/>
        <w:jc w:val="center"/>
        <w:rPr>
          <w:rFonts w:asciiTheme="majorBidi" w:hAnsiTheme="majorBidi" w:cstheme="majorBidi"/>
          <w:b/>
          <w:bCs/>
          <w:i/>
          <w:iCs/>
          <w:color w:val="7030A0"/>
          <w:sz w:val="72"/>
          <w:szCs w:val="72"/>
        </w:rPr>
      </w:pPr>
      <w:r>
        <w:rPr>
          <w:rFonts w:asciiTheme="majorBidi" w:hAnsiTheme="majorBidi" w:cstheme="majorBidi"/>
          <w:b/>
          <w:bCs/>
          <w:i/>
          <w:iCs/>
          <w:noProof/>
          <w:color w:val="7030A0"/>
          <w:sz w:val="72"/>
          <w:szCs w:val="72"/>
          <w:lang w:eastAsia="fr-FR"/>
        </w:rPr>
        <w:lastRenderedPageBreak/>
        <w:drawing>
          <wp:inline distT="0" distB="0" distL="0" distR="0">
            <wp:extent cx="5939790" cy="8169275"/>
            <wp:effectExtent l="19050" t="0" r="3810" b="0"/>
            <wp:docPr id="14" name="Image 13" descr="13457579_1732228883659111_1966941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57579_1732228883659111_1966941022_n.jpg"/>
                    <pic:cNvPicPr/>
                  </pic:nvPicPr>
                  <pic:blipFill>
                    <a:blip r:embed="rId82"/>
                    <a:stretch>
                      <a:fillRect/>
                    </a:stretch>
                  </pic:blipFill>
                  <pic:spPr>
                    <a:xfrm>
                      <a:off x="0" y="0"/>
                      <a:ext cx="5939790" cy="8169275"/>
                    </a:xfrm>
                    <a:prstGeom prst="rect">
                      <a:avLst/>
                    </a:prstGeom>
                  </pic:spPr>
                </pic:pic>
              </a:graphicData>
            </a:graphic>
          </wp:inline>
        </w:drawing>
      </w:r>
    </w:p>
    <w:p w:rsidR="00E158C9" w:rsidRPr="00E158C9" w:rsidRDefault="00C015E5" w:rsidP="00C015E5">
      <w:pPr>
        <w:spacing w:line="360" w:lineRule="auto"/>
        <w:ind w:firstLine="708"/>
        <w:jc w:val="center"/>
        <w:rPr>
          <w:rFonts w:asciiTheme="majorBidi" w:hAnsiTheme="majorBidi" w:cstheme="majorBidi"/>
          <w:b/>
          <w:bCs/>
          <w:color w:val="7030A0"/>
          <w:sz w:val="48"/>
          <w:szCs w:val="48"/>
        </w:rPr>
      </w:pPr>
      <w:r>
        <w:rPr>
          <w:rFonts w:asciiTheme="majorBidi" w:hAnsiTheme="majorBidi" w:cstheme="majorBidi"/>
          <w:b/>
          <w:bCs/>
          <w:noProof/>
          <w:color w:val="7030A0"/>
          <w:sz w:val="48"/>
          <w:szCs w:val="48"/>
          <w:lang w:eastAsia="fr-FR"/>
        </w:rPr>
        <w:lastRenderedPageBreak/>
        <w:drawing>
          <wp:inline distT="0" distB="0" distL="0" distR="0">
            <wp:extent cx="5939790" cy="8169275"/>
            <wp:effectExtent l="19050" t="0" r="3810" b="0"/>
            <wp:docPr id="3" name="Image 2" descr="13451100_1732228793659120_539714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51100_1732228793659120_539714074_n.jpg"/>
                    <pic:cNvPicPr/>
                  </pic:nvPicPr>
                  <pic:blipFill>
                    <a:blip r:embed="rId83"/>
                    <a:stretch>
                      <a:fillRect/>
                    </a:stretch>
                  </pic:blipFill>
                  <pic:spPr>
                    <a:xfrm>
                      <a:off x="0" y="0"/>
                      <a:ext cx="5939790" cy="8169275"/>
                    </a:xfrm>
                    <a:prstGeom prst="rect">
                      <a:avLst/>
                    </a:prstGeom>
                  </pic:spPr>
                </pic:pic>
              </a:graphicData>
            </a:graphic>
          </wp:inline>
        </w:drawing>
      </w:r>
    </w:p>
    <w:sectPr w:rsidR="00E158C9" w:rsidRPr="00E158C9" w:rsidSect="00532E6D">
      <w:pgSz w:w="11906" w:h="16838"/>
      <w:pgMar w:top="1134" w:right="1134" w:bottom="1134" w:left="1418" w:header="397" w:footer="680" w:gutter="0"/>
      <w:pgNumType w:start="5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75E" w:rsidRDefault="0099475E" w:rsidP="0010728D">
      <w:pPr>
        <w:spacing w:after="0" w:line="240" w:lineRule="auto"/>
      </w:pPr>
      <w:r>
        <w:separator/>
      </w:r>
    </w:p>
  </w:endnote>
  <w:endnote w:type="continuationSeparator" w:id="1">
    <w:p w:rsidR="0099475E" w:rsidRDefault="0099475E" w:rsidP="001072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eesiaUPC">
    <w:panose1 w:val="020B0604020202020204"/>
    <w:charset w:val="00"/>
    <w:family w:val="swiss"/>
    <w:pitch w:val="variable"/>
    <w:sig w:usb0="01000007" w:usb1="00000002" w:usb2="00000000" w:usb3="00000000" w:csb0="00010001" w:csb1="00000000"/>
  </w:font>
  <w:font w:name="Narkisim">
    <w:panose1 w:val="020E0502050101010101"/>
    <w:charset w:val="B1"/>
    <w:family w:val="swiss"/>
    <w:pitch w:val="variable"/>
    <w:sig w:usb0="00000801" w:usb1="00000000" w:usb2="00000000" w:usb3="00000000" w:csb0="00000020" w:csb1="00000000"/>
  </w:font>
  <w:font w:name="TTE27BB9A8t00">
    <w:altName w:val="MS Mincho"/>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TarzanaNarrow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
    <w:altName w:val="Times New Roman"/>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ato">
    <w:altName w:val="Times New Roman"/>
    <w:panose1 w:val="00000000000000000000"/>
    <w:charset w:val="00"/>
    <w:family w:val="roman"/>
    <w:notTrueType/>
    <w:pitch w:val="default"/>
    <w:sig w:usb0="00000003" w:usb1="00000000" w:usb2="00000000" w:usb3="00000000" w:csb0="00000001" w:csb1="00000000"/>
  </w:font>
  <w:font w:name="TTE27BB3C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5732967"/>
      <w:docPartObj>
        <w:docPartGallery w:val="Page Numbers (Bottom of Page)"/>
        <w:docPartUnique/>
      </w:docPartObj>
    </w:sdtPr>
    <w:sdtContent>
      <w:p w:rsidR="006205BC" w:rsidRDefault="006205BC">
        <w:pPr>
          <w:pStyle w:val="Pieddepage"/>
        </w:pPr>
        <w:r>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4106" type="#_x0000_t5" style="position:absolute;margin-left:507.75pt;margin-top:771.75pt;width:80.8pt;height:63.35pt;z-index:251682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" adj="21600" fillcolor="#bfb1d0 [1623]" strokecolor="#795d9b [3047]">
              <v:fill color2="#ece7f1 [503]" rotate="t" angle="180" colors="0 #c9b5e8;22938f #d9cbee;1 #f0eaf9" focus="100%" type="gradient"/>
              <v:shadow on="t" color="black" opacity="24903f" origin=",.5" offset="0,.55556mm"/>
              <v:textbox>
                <w:txbxContent>
                  <w:p w:rsidR="006205BC" w:rsidRPr="00F27246" w:rsidRDefault="006205BC">
                    <w:pPr>
                      <w:jc w:val="center"/>
                      <w:rPr>
                        <w:rFonts w:asciiTheme="majorBidi" w:hAnsiTheme="majorBidi" w:cstheme="majorBidi"/>
                        <w:sz w:val="40"/>
                        <w:szCs w:val="40"/>
                      </w:rPr>
                    </w:pPr>
                    <w:r w:rsidRPr="00824C86">
                      <w:rPr>
                        <w:rFonts w:asciiTheme="majorBidi" w:eastAsiaTheme="minorEastAsia" w:hAnsiTheme="majorBidi" w:cstheme="majorBidi"/>
                        <w:sz w:val="40"/>
                        <w:szCs w:val="40"/>
                      </w:rPr>
                      <w:fldChar w:fldCharType="begin"/>
                    </w:r>
                    <w:r w:rsidRPr="00F27246">
                      <w:rPr>
                        <w:rFonts w:asciiTheme="majorBidi" w:hAnsiTheme="majorBidi" w:cstheme="majorBidi"/>
                        <w:sz w:val="40"/>
                        <w:szCs w:val="40"/>
                      </w:rPr>
                      <w:instrText>PAGE    \* MERGEFORMAT</w:instrText>
                    </w:r>
                    <w:r w:rsidRPr="00824C86">
                      <w:rPr>
                        <w:rFonts w:asciiTheme="majorBidi" w:eastAsiaTheme="minorEastAsia" w:hAnsiTheme="majorBidi" w:cstheme="majorBidi"/>
                        <w:sz w:val="40"/>
                        <w:szCs w:val="40"/>
                      </w:rPr>
                      <w:fldChar w:fldCharType="separate"/>
                    </w:r>
                    <w:r w:rsidR="0039729C" w:rsidRPr="0039729C">
                      <w:rPr>
                        <w:rFonts w:asciiTheme="majorBidi" w:eastAsiaTheme="majorEastAsia" w:hAnsiTheme="majorBidi" w:cstheme="majorBidi"/>
                        <w:noProof/>
                        <w:sz w:val="40"/>
                        <w:szCs w:val="40"/>
                      </w:rPr>
                      <w:t>2</w:t>
                    </w:r>
                    <w:r w:rsidRPr="00F27246">
                      <w:rPr>
                        <w:rFonts w:asciiTheme="majorBidi" w:eastAsiaTheme="majorEastAsia" w:hAnsiTheme="majorBidi" w:cstheme="majorBidi"/>
                        <w:sz w:val="40"/>
                        <w:szCs w:val="40"/>
                      </w:rPr>
                      <w:fldChar w:fldCharType="end"/>
                    </w:r>
                  </w:p>
                </w:txbxContent>
              </v:textbox>
              <w10:wrap anchorx="page" anchory="page"/>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032196"/>
      <w:docPartObj>
        <w:docPartGallery w:val="Page Numbers (Bottom of Page)"/>
        <w:docPartUnique/>
      </w:docPartObj>
    </w:sdtPr>
    <w:sdtContent>
      <w:p w:rsidR="006205BC" w:rsidRDefault="006205BC" w:rsidP="007F3B1A">
        <w:pPr>
          <w:pStyle w:val="Pieddepage"/>
        </w:pP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9442239"/>
      <w:docPartObj>
        <w:docPartGallery w:val="Page Numbers (Bottom of Page)"/>
        <w:docPartUnique/>
      </w:docPartObj>
    </w:sdtPr>
    <w:sdtContent>
      <w:p w:rsidR="006205BC" w:rsidRDefault="006205BC" w:rsidP="007F3B1A">
        <w:pPr>
          <w:pStyle w:val="Pieddepage"/>
        </w:pPr>
        <w:r>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097" type="#_x0000_t5" style="position:absolute;margin-left:515.5pt;margin-top:757.45pt;width:76.15pt;height:79.2pt;z-index:251701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" adj="21600" fillcolor="#bfb1d0 [1623]" strokecolor="#795d9b [3047]">
              <v:fill color2="#ece7f1 [503]" rotate="t" angle="180" colors="0 #c9b5e8;22938f #d9cbee;1 #f0eaf9" focus="100%" type="gradient"/>
              <v:shadow on="t" color="black" opacity="24903f" origin=",.5" offset="0,.55556mm"/>
              <v:textbox>
                <w:txbxContent>
                  <w:p w:rsidR="006205BC" w:rsidRPr="00532E6D" w:rsidRDefault="006205BC" w:rsidP="00532E6D">
                    <w:pPr>
                      <w:rPr>
                        <w:rFonts w:asciiTheme="majorBidi" w:hAnsiTheme="majorBidi" w:cstheme="majorBidi"/>
                        <w:sz w:val="40"/>
                        <w:szCs w:val="40"/>
                      </w:rPr>
                    </w:pPr>
                    <w:r w:rsidRPr="00824C86">
                      <w:rPr>
                        <w:rFonts w:asciiTheme="majorBidi" w:eastAsiaTheme="minorEastAsia" w:hAnsiTheme="majorBidi" w:cstheme="majorBidi"/>
                        <w:sz w:val="40"/>
                        <w:szCs w:val="40"/>
                      </w:rPr>
                      <w:fldChar w:fldCharType="begin"/>
                    </w:r>
                    <w:r w:rsidRPr="00532E6D">
                      <w:rPr>
                        <w:rFonts w:asciiTheme="majorBidi" w:hAnsiTheme="majorBidi" w:cstheme="majorBidi"/>
                        <w:sz w:val="40"/>
                        <w:szCs w:val="40"/>
                      </w:rPr>
                      <w:instrText>PAGE    \* MERGEFORMAT</w:instrText>
                    </w:r>
                    <w:r w:rsidRPr="00824C86">
                      <w:rPr>
                        <w:rFonts w:asciiTheme="majorBidi" w:eastAsiaTheme="minorEastAsia" w:hAnsiTheme="majorBidi" w:cstheme="majorBidi"/>
                        <w:sz w:val="40"/>
                        <w:szCs w:val="40"/>
                      </w:rPr>
                      <w:fldChar w:fldCharType="separate"/>
                    </w:r>
                    <w:r w:rsidR="00194992" w:rsidRPr="00194992">
                      <w:rPr>
                        <w:rFonts w:asciiTheme="majorBidi" w:eastAsiaTheme="majorEastAsia" w:hAnsiTheme="majorBidi" w:cstheme="majorBidi"/>
                        <w:noProof/>
                        <w:sz w:val="40"/>
                        <w:szCs w:val="40"/>
                      </w:rPr>
                      <w:t>56</w:t>
                    </w:r>
                    <w:r w:rsidRPr="00532E6D">
                      <w:rPr>
                        <w:rFonts w:asciiTheme="majorBidi" w:eastAsiaTheme="majorEastAsia" w:hAnsiTheme="majorBidi" w:cstheme="majorBidi"/>
                        <w:sz w:val="40"/>
                        <w:szCs w:val="40"/>
                      </w:rPr>
                      <w:fldChar w:fldCharType="end"/>
                    </w:r>
                  </w:p>
                </w:txbxContent>
              </v:textbox>
              <w10:wrap anchorx="page" anchory="page"/>
            </v:shape>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Default="006205BC" w:rsidP="007F3B1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Default="006205B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889633"/>
      <w:docPartObj>
        <w:docPartGallery w:val="Page Numbers (Bottom of Page)"/>
        <w:docPartUnique/>
      </w:docPartObj>
    </w:sdtPr>
    <w:sdtContent>
      <w:p w:rsidR="006205BC" w:rsidRDefault="006205BC">
        <w:pPr>
          <w:pStyle w:val="Pieddepage"/>
        </w:pPr>
        <w:r>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104" type="#_x0000_t5" style="position:absolute;margin-left:522pt;margin-top:777.75pt;width:69.35pt;height:61.05pt;z-index:25167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" adj="21600" fillcolor="#bfb1d0 [1623]" strokecolor="#795d9b [3047]">
              <v:fill color2="#ece7f1 [503]" rotate="t" angle="180" colors="0 #c9b5e8;22938f #d9cbee;1 #f0eaf9" focus="100%" type="gradient"/>
              <v:shadow on="t" color="black" opacity="24903f" origin=",.5" offset="0,.55556mm"/>
              <v:textbox>
                <w:txbxContent>
                  <w:p w:rsidR="006205BC" w:rsidRPr="00FA1DF3" w:rsidRDefault="006205BC" w:rsidP="00FA1DF3">
                    <w:pPr>
                      <w:rPr>
                        <w:rFonts w:asciiTheme="majorBidi" w:hAnsiTheme="majorBidi" w:cstheme="majorBidi"/>
                        <w:sz w:val="40"/>
                        <w:szCs w:val="40"/>
                      </w:rPr>
                    </w:pPr>
                    <w:r w:rsidRPr="00824C86">
                      <w:rPr>
                        <w:rFonts w:asciiTheme="majorBidi" w:eastAsiaTheme="minorEastAsia" w:hAnsiTheme="majorBidi" w:cstheme="majorBidi"/>
                        <w:sz w:val="40"/>
                        <w:szCs w:val="40"/>
                      </w:rPr>
                      <w:fldChar w:fldCharType="begin"/>
                    </w:r>
                    <w:r w:rsidRPr="00FA1DF3">
                      <w:rPr>
                        <w:rFonts w:asciiTheme="majorBidi" w:hAnsiTheme="majorBidi" w:cstheme="majorBidi"/>
                        <w:sz w:val="40"/>
                        <w:szCs w:val="40"/>
                      </w:rPr>
                      <w:instrText>PAGE    \* MERGEFORMAT</w:instrText>
                    </w:r>
                    <w:r w:rsidRPr="00824C86">
                      <w:rPr>
                        <w:rFonts w:asciiTheme="majorBidi" w:eastAsiaTheme="minorEastAsia" w:hAnsiTheme="majorBidi" w:cstheme="majorBidi"/>
                        <w:sz w:val="40"/>
                        <w:szCs w:val="40"/>
                      </w:rPr>
                      <w:fldChar w:fldCharType="separate"/>
                    </w:r>
                    <w:r w:rsidR="007D4B8D" w:rsidRPr="007D4B8D">
                      <w:rPr>
                        <w:rFonts w:asciiTheme="majorBidi" w:eastAsiaTheme="majorEastAsia" w:hAnsiTheme="majorBidi" w:cstheme="majorBidi"/>
                        <w:noProof/>
                        <w:sz w:val="40"/>
                        <w:szCs w:val="40"/>
                      </w:rPr>
                      <w:t>32</w:t>
                    </w:r>
                    <w:r w:rsidRPr="00FA1DF3">
                      <w:rPr>
                        <w:rFonts w:asciiTheme="majorBidi" w:eastAsiaTheme="majorEastAsia" w:hAnsiTheme="majorBidi" w:cstheme="majorBidi"/>
                        <w:sz w:val="40"/>
                        <w:szCs w:val="40"/>
                      </w:rPr>
                      <w:fldChar w:fldCharType="end"/>
                    </w:r>
                  </w:p>
                </w:txbxContent>
              </v:textbox>
              <w10:wrap anchorx="page"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Default="006205BC">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Default="006205BC">
    <w:pPr>
      <w:pStyle w:val="Pieddepage"/>
    </w:pPr>
    <w:r>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6" o:spid="_x0000_s4102" type="#_x0000_t5" style="position:absolute;margin-left:81.65pt;margin-top:0;width:70.95pt;height:73.8pt;z-index:251680768;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" adj="21600" fillcolor="#bfb1d0 [1623]" strokecolor="#795d9b [3047]">
          <v:fill color2="#ece7f1 [503]" rotate="t" angle="180" colors="0 #c9b5e8;22938f #d9cbee;1 #f0eaf9" focus="100%" type="gradient"/>
          <v:shadow on="t" color="black" opacity="24903f" origin=",.5" offset="0,.55556mm"/>
          <v:textbox>
            <w:txbxContent>
              <w:p w:rsidR="006205BC" w:rsidRPr="005E6E42" w:rsidRDefault="006205BC">
                <w:pPr>
                  <w:jc w:val="center"/>
                  <w:rPr>
                    <w:rFonts w:asciiTheme="majorBidi" w:hAnsiTheme="majorBidi" w:cs="Times New Roman"/>
                    <w:sz w:val="28"/>
                    <w:szCs w:val="28"/>
                  </w:rPr>
                </w:pPr>
                <w:r w:rsidRPr="005E6E42">
                  <w:rPr>
                    <w:rFonts w:asciiTheme="majorBidi" w:hAnsiTheme="majorBidi" w:cs="Times New Roman"/>
                    <w:sz w:val="28"/>
                    <w:szCs w:val="28"/>
                  </w:rPr>
                  <w:fldChar w:fldCharType="begin"/>
                </w:r>
                <w:r w:rsidRPr="005E6E42">
                  <w:rPr>
                    <w:rFonts w:asciiTheme="majorBidi" w:hAnsiTheme="majorBidi" w:cs="Times New Roman"/>
                    <w:sz w:val="28"/>
                    <w:szCs w:val="28"/>
                  </w:rPr>
                  <w:instrText>PAGE    \* MERGEFORMAT</w:instrText>
                </w:r>
                <w:r w:rsidRPr="005E6E42">
                  <w:rPr>
                    <w:rFonts w:asciiTheme="majorBidi" w:hAnsiTheme="majorBidi" w:cs="Times New Roman"/>
                    <w:sz w:val="28"/>
                    <w:szCs w:val="28"/>
                  </w:rPr>
                  <w:fldChar w:fldCharType="separate"/>
                </w:r>
                <w:r w:rsidR="007D4B8D" w:rsidRPr="007D4B8D">
                  <w:rPr>
                    <w:rFonts w:asciiTheme="majorBidi" w:eastAsiaTheme="majorEastAsia" w:hAnsiTheme="majorBidi" w:cs="Times New Roman"/>
                    <w:noProof/>
                    <w:sz w:val="28"/>
                    <w:szCs w:val="28"/>
                  </w:rPr>
                  <w:t>41</w:t>
                </w:r>
                <w:r w:rsidRPr="005E6E42">
                  <w:rPr>
                    <w:rFonts w:asciiTheme="majorBidi" w:hAnsiTheme="majorBidi" w:cs="Times New Roman"/>
                    <w:sz w:val="28"/>
                    <w:szCs w:val="28"/>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Default="006205BC">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611709"/>
      <w:docPartObj>
        <w:docPartGallery w:val="Page Numbers (Bottom of Page)"/>
        <w:docPartUnique/>
      </w:docPartObj>
    </w:sdtPr>
    <w:sdtContent>
      <w:p w:rsidR="006205BC" w:rsidRDefault="006205BC">
        <w:pPr>
          <w:pStyle w:val="Pieddepage"/>
        </w:pPr>
        <w:r>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100" type="#_x0000_t5" style="position:absolute;margin-left:97.25pt;margin-top:757pt;width:76.15pt;height:70.55pt;z-index:251686912;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" adj="21600" fillcolor="#bfb1d0 [1623]" strokecolor="#795d9b [3047]">
              <v:fill color2="#ece7f1 [503]" rotate="t" angle="180" colors="0 #c9b5e8;22938f #d9cbee;1 #f0eaf9" focus="100%" type="gradient"/>
              <v:shadow on="t" color="black" opacity="24903f" origin=",.5" offset="0,.55556mm"/>
              <v:textbox>
                <w:txbxContent>
                  <w:p w:rsidR="006205BC" w:rsidRPr="00C91FA9" w:rsidRDefault="006205BC">
                    <w:pPr>
                      <w:jc w:val="center"/>
                      <w:rPr>
                        <w:rFonts w:asciiTheme="majorBidi" w:hAnsiTheme="majorBidi" w:cstheme="majorBidi"/>
                        <w:sz w:val="40"/>
                        <w:szCs w:val="40"/>
                      </w:rPr>
                    </w:pPr>
                    <w:r w:rsidRPr="00824C86">
                      <w:rPr>
                        <w:rFonts w:asciiTheme="majorBidi" w:eastAsiaTheme="minorEastAsia" w:hAnsiTheme="majorBidi" w:cstheme="majorBidi"/>
                        <w:sz w:val="40"/>
                        <w:szCs w:val="40"/>
                      </w:rPr>
                      <w:fldChar w:fldCharType="begin"/>
                    </w:r>
                    <w:r w:rsidRPr="00C91FA9">
                      <w:rPr>
                        <w:rFonts w:asciiTheme="majorBidi" w:hAnsiTheme="majorBidi" w:cstheme="majorBidi"/>
                        <w:sz w:val="40"/>
                        <w:szCs w:val="40"/>
                      </w:rPr>
                      <w:instrText>PAGE    \* MERGEFORMAT</w:instrText>
                    </w:r>
                    <w:r w:rsidRPr="00824C86">
                      <w:rPr>
                        <w:rFonts w:asciiTheme="majorBidi" w:eastAsiaTheme="minorEastAsia" w:hAnsiTheme="majorBidi" w:cstheme="majorBidi"/>
                        <w:sz w:val="40"/>
                        <w:szCs w:val="40"/>
                      </w:rPr>
                      <w:fldChar w:fldCharType="separate"/>
                    </w:r>
                    <w:r w:rsidR="00194992" w:rsidRPr="00194992">
                      <w:rPr>
                        <w:rFonts w:asciiTheme="majorBidi" w:eastAsiaTheme="majorEastAsia" w:hAnsiTheme="majorBidi" w:cstheme="majorBidi"/>
                        <w:noProof/>
                        <w:sz w:val="40"/>
                        <w:szCs w:val="40"/>
                      </w:rPr>
                      <w:t>48</w:t>
                    </w:r>
                    <w:r w:rsidRPr="00C91FA9">
                      <w:rPr>
                        <w:rFonts w:asciiTheme="majorBidi" w:eastAsiaTheme="majorEastAsia" w:hAnsiTheme="majorBidi" w:cstheme="majorBidi"/>
                        <w:sz w:val="40"/>
                        <w:szCs w:val="40"/>
                      </w:rPr>
                      <w:fldChar w:fldCharType="end"/>
                    </w:r>
                  </w:p>
                </w:txbxContent>
              </v:textbox>
              <w10:wrap anchorx="page" anchory="page"/>
            </v:shape>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Default="006205BC" w:rsidP="007F3B1A">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1759725"/>
      <w:docPartObj>
        <w:docPartGallery w:val="Page Numbers (Bottom of Page)"/>
        <w:docPartUnique/>
      </w:docPartObj>
    </w:sdtPr>
    <w:sdtContent>
      <w:p w:rsidR="006205BC" w:rsidRDefault="006205BC" w:rsidP="007F3B1A">
        <w:pPr>
          <w:pStyle w:val="Pieddepage"/>
        </w:pPr>
        <w:r>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098" type="#_x0000_t5" style="position:absolute;margin-left:515.5pt;margin-top:757.45pt;width:76.15pt;height:79.2pt;z-index:251697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" adj="21600" fillcolor="#bfb1d0 [1623]" strokecolor="#795d9b [3047]">
              <v:fill color2="#ece7f1 [503]" rotate="t" angle="180" colors="0 #c9b5e8;22938f #d9cbee;1 #f0eaf9" focus="100%" type="gradient"/>
              <v:shadow on="t" color="black" opacity="24903f" origin=",.5" offset="0,.55556mm"/>
              <v:textbox>
                <w:txbxContent>
                  <w:p w:rsidR="006205BC" w:rsidRPr="00532E6D" w:rsidRDefault="006205BC">
                    <w:pPr>
                      <w:jc w:val="center"/>
                      <w:rPr>
                        <w:rFonts w:asciiTheme="majorBidi" w:hAnsiTheme="majorBidi" w:cstheme="majorBidi"/>
                        <w:sz w:val="40"/>
                        <w:szCs w:val="40"/>
                      </w:rPr>
                    </w:pPr>
                    <w:r w:rsidRPr="00824C86">
                      <w:rPr>
                        <w:rFonts w:asciiTheme="majorBidi" w:eastAsiaTheme="minorEastAsia" w:hAnsiTheme="majorBidi" w:cstheme="majorBidi"/>
                        <w:sz w:val="40"/>
                        <w:szCs w:val="40"/>
                      </w:rPr>
                      <w:fldChar w:fldCharType="begin"/>
                    </w:r>
                    <w:r w:rsidRPr="00532E6D">
                      <w:rPr>
                        <w:rFonts w:asciiTheme="majorBidi" w:hAnsiTheme="majorBidi" w:cstheme="majorBidi"/>
                        <w:sz w:val="40"/>
                        <w:szCs w:val="40"/>
                      </w:rPr>
                      <w:instrText>PAGE    \* MERGEFORMAT</w:instrText>
                    </w:r>
                    <w:r w:rsidRPr="00824C86">
                      <w:rPr>
                        <w:rFonts w:asciiTheme="majorBidi" w:eastAsiaTheme="minorEastAsia" w:hAnsiTheme="majorBidi" w:cstheme="majorBidi"/>
                        <w:sz w:val="40"/>
                        <w:szCs w:val="40"/>
                      </w:rPr>
                      <w:fldChar w:fldCharType="separate"/>
                    </w:r>
                    <w:r w:rsidR="00194992" w:rsidRPr="00194992">
                      <w:rPr>
                        <w:rFonts w:asciiTheme="majorBidi" w:eastAsiaTheme="majorEastAsia" w:hAnsiTheme="majorBidi" w:cstheme="majorBidi"/>
                        <w:noProof/>
                        <w:sz w:val="40"/>
                        <w:szCs w:val="40"/>
                      </w:rPr>
                      <w:t>54</w:t>
                    </w:r>
                    <w:r w:rsidRPr="00532E6D">
                      <w:rPr>
                        <w:rFonts w:asciiTheme="majorBidi" w:eastAsiaTheme="majorEastAsia" w:hAnsiTheme="majorBidi" w:cstheme="majorBidi"/>
                        <w:sz w:val="40"/>
                        <w:szCs w:val="40"/>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75E" w:rsidRDefault="0099475E" w:rsidP="0010728D">
      <w:pPr>
        <w:spacing w:after="0" w:line="240" w:lineRule="auto"/>
      </w:pPr>
      <w:r>
        <w:separator/>
      </w:r>
    </w:p>
  </w:footnote>
  <w:footnote w:type="continuationSeparator" w:id="1">
    <w:p w:rsidR="0099475E" w:rsidRDefault="0099475E" w:rsidP="001072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10728D" w:rsidRDefault="006205BC" w:rsidP="0010728D">
    <w:pPr>
      <w:tabs>
        <w:tab w:val="center" w:pos="4153"/>
        <w:tab w:val="right" w:pos="8306"/>
      </w:tabs>
      <w:spacing w:after="0" w:line="240" w:lineRule="auto"/>
      <w:jc w:val="center"/>
      <w:rPr>
        <w:rFonts w:asciiTheme="majorBidi" w:eastAsia="Times New Roman" w:hAnsiTheme="majorBidi" w:cs="Times New Roman"/>
        <w:i/>
        <w:iCs/>
        <w:color w:val="7030A0"/>
        <w:sz w:val="28"/>
        <w:szCs w:val="28"/>
        <w:rtl/>
      </w:rPr>
    </w:pPr>
    <w:r w:rsidRPr="00824C86">
      <w:rPr>
        <w:rFonts w:eastAsia="Times New Roman" w:cs="Arial"/>
        <w:noProof/>
        <w:rtl/>
        <w:lang w:eastAsia="fr-FR"/>
      </w:rPr>
      <w:pict>
        <v:line id="Connecteur droit 15" o:spid="_x0000_s4110" style="position:absolute;left:0;text-align:left;flip:y;z-index:251667456;visibility:visible;mso-width-relative:margin;mso-height-relative:margin" from="1.75pt,17.05pt" to="462.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" strokecolor="#f2f2f2 [3041]" strokeweight="3pt">
          <v:shadow on="t" color="#3f3151 [1607]" opacity=".5" offset="1pt"/>
        </v:line>
      </w:pict>
    </w:r>
    <w:r w:rsidRPr="0010728D">
      <w:rPr>
        <w:rFonts w:asciiTheme="majorBidi" w:eastAsia="Times New Roman" w:hAnsiTheme="majorBidi" w:cs="Times New Roman" w:hint="cs"/>
        <w:i/>
        <w:iCs/>
        <w:color w:val="7030A0"/>
        <w:sz w:val="32"/>
        <w:szCs w:val="32"/>
        <w:rtl/>
      </w:rPr>
      <w:t>ملخص</w:t>
    </w:r>
  </w:p>
  <w:p w:rsidR="006205BC" w:rsidRPr="0010728D" w:rsidRDefault="006205BC" w:rsidP="0010728D">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704673" w:rsidRDefault="006205BC">
    <w:pPr>
      <w:pStyle w:val="En-tte"/>
      <w:rPr>
        <w:rFonts w:asciiTheme="majorBidi" w:hAnsiTheme="majorBidi" w:cs="Times New Roman"/>
        <w:i/>
        <w:iCs/>
        <w:color w:val="7030A0"/>
        <w:sz w:val="28"/>
        <w:szCs w:val="28"/>
      </w:rPr>
    </w:pPr>
    <w:r w:rsidRPr="00824C86">
      <w:rPr>
        <w:noProof/>
        <w:lang w:eastAsia="fr-FR"/>
      </w:rPr>
      <w:pict>
        <v:line id="Connecteur droit 47" o:spid="_x0000_s4103" style="position:absolute;flip:y;z-index:251679744;visibility:visible;mso-width-relative:margin;mso-height-relative:margin" from="1.75pt,17.05pt" to="462.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" strokecolor="#f2f2f2 [3041]" strokeweight="3pt">
          <v:shadow on="t" color="#3f3151 [1607]" opacity=".5" offset="1pt"/>
        </v:line>
      </w:pict>
    </w:r>
    <w:r>
      <w:rPr>
        <w:rFonts w:asciiTheme="majorBidi" w:hAnsiTheme="majorBidi" w:cs="Times New Roman"/>
        <w:i/>
        <w:iCs/>
        <w:color w:val="7030A0"/>
        <w:sz w:val="28"/>
        <w:szCs w:val="28"/>
      </w:rPr>
      <w:t xml:space="preserve">  Chapitre II                </w:t>
    </w:r>
    <w:r w:rsidRPr="00704673">
      <w:rPr>
        <w:rFonts w:asciiTheme="majorBidi" w:hAnsiTheme="majorBidi" w:cs="Times New Roman"/>
        <w:i/>
        <w:iCs/>
        <w:color w:val="7030A0"/>
        <w:sz w:val="28"/>
        <w:szCs w:val="28"/>
      </w:rPr>
      <w:t xml:space="preserve">                                                           matériels et méthodes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704673" w:rsidRDefault="006205BC">
    <w:pPr>
      <w:pStyle w:val="En-tte"/>
      <w:rPr>
        <w:rFonts w:asciiTheme="majorBidi" w:hAnsiTheme="majorBidi" w:cs="Times New Roman"/>
        <w:i/>
        <w:iCs/>
        <w:color w:val="7030A0"/>
        <w:sz w:val="28"/>
        <w:szCs w:val="2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704673" w:rsidRDefault="006205BC" w:rsidP="00C91FA9">
    <w:pPr>
      <w:pStyle w:val="En-tte"/>
      <w:rPr>
        <w:rFonts w:asciiTheme="majorBidi" w:hAnsiTheme="majorBidi" w:cs="Times New Roman"/>
        <w:i/>
        <w:iCs/>
        <w:color w:val="7030A0"/>
        <w:sz w:val="28"/>
        <w:szCs w:val="28"/>
      </w:rPr>
    </w:pPr>
    <w:r w:rsidRPr="00824C86">
      <w:rPr>
        <w:noProof/>
        <w:lang w:eastAsia="fr-FR"/>
      </w:rPr>
      <w:pict>
        <v:line id="Connecteur droit 61" o:spid="_x0000_s4101" style="position:absolute;flip:y;z-index:251684864;visibility:visible;mso-width-relative:margin;mso-height-relative:margin" from="1.75pt,17.05pt" to="462.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" strokecolor="#f2f2f2 [3041]" strokeweight="3pt">
          <v:shadow on="t" color="#3f3151 [1607]" opacity=".5" offset="1pt"/>
        </v:line>
      </w:pict>
    </w:r>
    <w:r>
      <w:rPr>
        <w:rFonts w:asciiTheme="majorBidi" w:hAnsiTheme="majorBidi" w:cs="Times New Roman"/>
        <w:i/>
        <w:iCs/>
        <w:color w:val="7030A0"/>
        <w:sz w:val="28"/>
        <w:szCs w:val="28"/>
      </w:rPr>
      <w:t xml:space="preserve">    Chapitre III          </w:t>
    </w:r>
    <w:r w:rsidR="00ED3E57">
      <w:rPr>
        <w:rFonts w:asciiTheme="majorBidi" w:hAnsiTheme="majorBidi" w:cs="Times New Roman"/>
        <w:i/>
        <w:iCs/>
        <w:color w:val="7030A0"/>
        <w:sz w:val="28"/>
        <w:szCs w:val="28"/>
      </w:rPr>
      <w:t xml:space="preserve">                                                                                  </w:t>
    </w:r>
    <w:r>
      <w:rPr>
        <w:rFonts w:asciiTheme="majorBidi" w:hAnsiTheme="majorBidi" w:cs="Times New Roman"/>
        <w:i/>
        <w:iCs/>
        <w:color w:val="7030A0"/>
        <w:sz w:val="28"/>
        <w:szCs w:val="28"/>
      </w:rPr>
      <w:t xml:space="preserve"> résultats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704673" w:rsidRDefault="006205BC" w:rsidP="00C91FA9">
    <w:pPr>
      <w:pStyle w:val="En-tte"/>
      <w:rPr>
        <w:rFonts w:asciiTheme="majorBidi" w:hAnsiTheme="majorBidi" w:cs="Times New Roman"/>
        <w:i/>
        <w:iCs/>
        <w:color w:val="7030A0"/>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704673" w:rsidRDefault="006205BC" w:rsidP="007F3B1A">
    <w:pPr>
      <w:pStyle w:val="En-tte"/>
      <w:rPr>
        <w:rFonts w:asciiTheme="majorBidi" w:hAnsiTheme="majorBidi" w:cs="Times New Roman"/>
        <w:i/>
        <w:iCs/>
        <w:color w:val="7030A0"/>
        <w:sz w:val="28"/>
        <w:szCs w:val="28"/>
      </w:rPr>
    </w:pPr>
    <w:r w:rsidRPr="00824C86">
      <w:rPr>
        <w:noProof/>
        <w:lang w:eastAsia="fr-FR"/>
      </w:rPr>
      <w:pict>
        <v:line id="Connecteur droit 657" o:spid="_x0000_s4099" style="position:absolute;flip:y;z-index:251695104;visibility:visible;mso-width-relative:margin;mso-height-relative:margin" from="1.75pt,17.05pt" to="462.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" strokecolor="#f2f2f2" strokeweight="3pt">
          <v:shadow on="t" color="#403152" opacity=".5" offset="1pt"/>
        </v:line>
      </w:pict>
    </w:r>
    <w:r>
      <w:rPr>
        <w:rFonts w:asciiTheme="majorBidi" w:hAnsiTheme="majorBidi" w:cs="Times New Roman"/>
        <w:i/>
        <w:iCs/>
        <w:color w:val="7030A0"/>
        <w:sz w:val="28"/>
        <w:szCs w:val="28"/>
      </w:rPr>
      <w:t xml:space="preserve">    Chapitre IV           </w:t>
    </w:r>
    <w:r w:rsidR="00E54399">
      <w:rPr>
        <w:rFonts w:asciiTheme="majorBidi" w:hAnsiTheme="majorBidi" w:cs="Times New Roman"/>
        <w:i/>
        <w:iCs/>
        <w:color w:val="7030A0"/>
        <w:sz w:val="28"/>
        <w:szCs w:val="28"/>
      </w:rPr>
      <w:t xml:space="preserve">                                                                               </w:t>
    </w:r>
    <w:r>
      <w:rPr>
        <w:rFonts w:asciiTheme="majorBidi" w:hAnsiTheme="majorBidi" w:cs="Times New Roman"/>
        <w:i/>
        <w:iCs/>
        <w:color w:val="7030A0"/>
        <w:sz w:val="28"/>
        <w:szCs w:val="28"/>
      </w:rPr>
      <w:t xml:space="preserve">Discussion </w:t>
    </w:r>
  </w:p>
  <w:p w:rsidR="006205BC" w:rsidRPr="00704673" w:rsidRDefault="006205BC" w:rsidP="00C91FA9">
    <w:pPr>
      <w:pStyle w:val="En-tte"/>
      <w:rPr>
        <w:rFonts w:asciiTheme="majorBidi" w:hAnsiTheme="majorBidi" w:cs="Times New Roman"/>
        <w:i/>
        <w:iCs/>
        <w:color w:val="7030A0"/>
        <w:sz w:val="28"/>
        <w:szCs w:val="28"/>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704673" w:rsidRDefault="006205BC" w:rsidP="00C91FA9">
    <w:pPr>
      <w:pStyle w:val="En-tte"/>
      <w:rPr>
        <w:rFonts w:asciiTheme="majorBidi" w:hAnsiTheme="majorBidi" w:cs="Times New Roman"/>
        <w:i/>
        <w:iCs/>
        <w:color w:val="7030A0"/>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10728D" w:rsidRDefault="006205BC" w:rsidP="0010728D">
    <w:pPr>
      <w:tabs>
        <w:tab w:val="center" w:pos="4153"/>
        <w:tab w:val="right" w:pos="8306"/>
      </w:tabs>
      <w:spacing w:after="0" w:line="240" w:lineRule="auto"/>
      <w:jc w:val="center"/>
      <w:rPr>
        <w:rFonts w:asciiTheme="majorBidi" w:eastAsia="Times New Roman" w:hAnsiTheme="majorBidi" w:cs="Times New Roman"/>
        <w:i/>
        <w:iCs/>
        <w:color w:val="7030A0"/>
        <w:sz w:val="28"/>
        <w:szCs w:val="28"/>
        <w:rtl/>
      </w:rPr>
    </w:pPr>
    <w:r w:rsidRPr="00824C86">
      <w:rPr>
        <w:rFonts w:eastAsia="Times New Roman" w:cs="Arial"/>
        <w:noProof/>
        <w:rtl/>
        <w:lang w:eastAsia="fr-FR"/>
      </w:rPr>
      <w:pict>
        <v:line id="Connecteur droit 2" o:spid="_x0000_s4109" style="position:absolute;left:0;text-align:left;flip:y;z-index:251661312;visibility:visible;mso-width-relative:margin;mso-height-relative:margin" from="1.75pt,17.05pt" to="462.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" strokecolor="#f2f2f2 [3041]" strokeweight="3pt">
          <v:shadow on="t" color="#3f3151 [1607]" opacity=".5" offset="1pt"/>
        </v:line>
      </w:pict>
    </w:r>
    <w:r>
      <w:rPr>
        <w:rFonts w:asciiTheme="majorBidi" w:eastAsia="Times New Roman" w:hAnsiTheme="majorBidi" w:cs="Times New Roman"/>
        <w:i/>
        <w:iCs/>
        <w:color w:val="7030A0"/>
        <w:sz w:val="32"/>
        <w:szCs w:val="32"/>
      </w:rPr>
      <w:t xml:space="preserve">Abstract </w:t>
    </w:r>
  </w:p>
  <w:p w:rsidR="006205BC" w:rsidRPr="0010728D" w:rsidRDefault="006205BC" w:rsidP="0010728D">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10728D" w:rsidRDefault="006205BC" w:rsidP="0010728D">
    <w:pPr>
      <w:tabs>
        <w:tab w:val="center" w:pos="4153"/>
        <w:tab w:val="right" w:pos="8306"/>
      </w:tabs>
      <w:spacing w:after="0" w:line="240" w:lineRule="auto"/>
      <w:jc w:val="center"/>
      <w:rPr>
        <w:rFonts w:asciiTheme="majorBidi" w:eastAsia="Times New Roman" w:hAnsiTheme="majorBidi" w:cs="Times New Roman"/>
        <w:i/>
        <w:iCs/>
        <w:color w:val="7030A0"/>
        <w:sz w:val="28"/>
        <w:szCs w:val="28"/>
        <w:rtl/>
      </w:rPr>
    </w:pPr>
    <w:r w:rsidRPr="00824C86">
      <w:rPr>
        <w:rFonts w:eastAsia="Times New Roman" w:cs="Arial"/>
        <w:noProof/>
        <w:rtl/>
        <w:lang w:eastAsia="fr-FR"/>
      </w:rPr>
      <w:pict>
        <v:line id="Connecteur droit 3" o:spid="_x0000_s4108" style="position:absolute;left:0;text-align:left;flip:y;z-index:251663360;visibility:visible;mso-width-relative:margin;mso-height-relative:margin" from="1.75pt,17.05pt" to="462.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" strokecolor="#f2f2f2 [3041]" strokeweight="3pt">
          <v:shadow on="t" color="#3f3151 [1607]" opacity=".5" offset="1pt"/>
        </v:line>
      </w:pict>
    </w:r>
    <w:r>
      <w:rPr>
        <w:rFonts w:asciiTheme="majorBidi" w:eastAsia="Times New Roman" w:hAnsiTheme="majorBidi" w:cs="Times New Roman"/>
        <w:i/>
        <w:iCs/>
        <w:color w:val="7030A0"/>
        <w:sz w:val="32"/>
        <w:szCs w:val="32"/>
      </w:rPr>
      <w:t xml:space="preserve">Résumé  </w:t>
    </w:r>
  </w:p>
  <w:p w:rsidR="006205BC" w:rsidRPr="0010728D" w:rsidRDefault="006205BC" w:rsidP="0010728D">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F1402E" w:rsidRDefault="006205BC" w:rsidP="00F1402E">
    <w:pPr>
      <w:tabs>
        <w:tab w:val="center" w:pos="4153"/>
        <w:tab w:val="right" w:pos="8306"/>
      </w:tabs>
      <w:spacing w:after="0" w:line="240" w:lineRule="auto"/>
      <w:jc w:val="center"/>
      <w:rPr>
        <w:rFonts w:asciiTheme="majorBidi" w:eastAsia="Times New Roman" w:hAnsiTheme="majorBidi" w:cs="Times New Roman"/>
        <w:i/>
        <w:iCs/>
        <w:color w:val="7030A0"/>
        <w:sz w:val="28"/>
        <w:szCs w:val="2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10728D" w:rsidRDefault="006205BC" w:rsidP="0010728D">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4E7251" w:rsidRDefault="006205BC" w:rsidP="004E7251">
    <w:pPr>
      <w:tabs>
        <w:tab w:val="center" w:pos="4153"/>
        <w:tab w:val="right" w:pos="8306"/>
      </w:tabs>
      <w:spacing w:after="0" w:line="240" w:lineRule="auto"/>
      <w:rPr>
        <w:rFonts w:asciiTheme="majorBidi" w:eastAsia="Times New Roman" w:hAnsiTheme="majorBidi" w:cs="Times New Roman"/>
        <w:i/>
        <w:iCs/>
        <w:color w:val="7030A0"/>
        <w:sz w:val="28"/>
        <w:szCs w:val="28"/>
      </w:rPr>
    </w:pPr>
    <w:r w:rsidRPr="00824C86">
      <w:rPr>
        <w:rFonts w:eastAsia="Times New Roman" w:cs="Arial"/>
        <w:noProof/>
        <w:lang w:eastAsia="fr-FR"/>
      </w:rPr>
      <w:pict>
        <v:line id="Connecteur droit 644" o:spid="_x0000_s4107" style="position:absolute;flip:y;z-index:251688960;visibility:visible;mso-wrap-distance-top:-3e-5mm;mso-wrap-distance-bottom:-3e-5mm;mso-width-relative:margin;mso-height-relative:margin" from="1.75pt,17.05pt" to="462.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" strokecolor="#f2f2f2 [3041]" strokeweight="3pt">
          <v:shadow on="t" color="#3f3151 [1607]" opacity=".5" offset="1pt"/>
        </v:line>
      </w:pict>
    </w:r>
    <w:r>
      <w:rPr>
        <w:rFonts w:asciiTheme="majorBidi" w:eastAsia="Times New Roman" w:hAnsiTheme="majorBidi" w:cs="Times New Roman"/>
        <w:i/>
        <w:iCs/>
        <w:color w:val="7030A0"/>
        <w:sz w:val="28"/>
        <w:szCs w:val="28"/>
      </w:rPr>
      <w:t xml:space="preserve">                                                     Introduction </w:t>
    </w:r>
  </w:p>
  <w:p w:rsidR="006205BC" w:rsidRPr="0010728D" w:rsidRDefault="006205BC" w:rsidP="0010728D">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10728D" w:rsidRDefault="006205BC" w:rsidP="0010728D">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57792C" w:rsidRDefault="006205BC" w:rsidP="0057792C">
    <w:pPr>
      <w:tabs>
        <w:tab w:val="center" w:pos="4153"/>
        <w:tab w:val="right" w:pos="8306"/>
      </w:tabs>
      <w:spacing w:after="0" w:line="240" w:lineRule="auto"/>
      <w:rPr>
        <w:rFonts w:asciiTheme="majorBidi" w:eastAsia="Times New Roman" w:hAnsiTheme="majorBidi" w:cs="Times New Roman"/>
        <w:i/>
        <w:iCs/>
        <w:color w:val="7030A0"/>
        <w:sz w:val="28"/>
        <w:szCs w:val="28"/>
      </w:rPr>
    </w:pPr>
    <w:r w:rsidRPr="00824C86">
      <w:rPr>
        <w:rFonts w:eastAsia="Times New Roman" w:cs="Arial"/>
        <w:noProof/>
        <w:lang w:eastAsia="fr-FR"/>
      </w:rPr>
      <w:pict>
        <v:line id="Connecteur droit 30" o:spid="_x0000_s4105" style="position:absolute;flip:y;z-index:251671552;visibility:visible;mso-width-relative:margin;mso-height-relative:margin" from="1.75pt,17.05pt" to="462.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" strokecolor="#f2f2f2 [3041]" strokeweight="3pt">
          <v:shadow on="t" color="#3f3151 [1607]" opacity=".5" offset="1pt"/>
        </v:line>
      </w:pict>
    </w:r>
    <w:r w:rsidRPr="0057792C">
      <w:rPr>
        <w:rFonts w:asciiTheme="majorBidi" w:eastAsia="Times New Roman" w:hAnsiTheme="majorBidi" w:cs="Times New Roman"/>
        <w:i/>
        <w:iCs/>
        <w:color w:val="7030A0"/>
        <w:sz w:val="28"/>
        <w:szCs w:val="28"/>
      </w:rPr>
      <w:t xml:space="preserve">   Chapitre I                                                                 </w:t>
    </w:r>
    <w:r>
      <w:rPr>
        <w:rFonts w:asciiTheme="majorBidi" w:eastAsia="Times New Roman" w:hAnsiTheme="majorBidi" w:cs="Times New Roman"/>
        <w:i/>
        <w:iCs/>
        <w:color w:val="7030A0"/>
        <w:sz w:val="28"/>
        <w:szCs w:val="28"/>
      </w:rPr>
      <w:t xml:space="preserve">     synthèse bibliographique </w:t>
    </w:r>
  </w:p>
  <w:p w:rsidR="006205BC" w:rsidRPr="0010728D" w:rsidRDefault="006205BC" w:rsidP="0010728D">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BC" w:rsidRPr="0010728D" w:rsidRDefault="006205BC" w:rsidP="0010728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489B"/>
    <w:multiLevelType w:val="multilevel"/>
    <w:tmpl w:val="992A8F4C"/>
    <w:lvl w:ilvl="0">
      <w:start w:val="1"/>
      <w:numFmt w:val="decimal"/>
      <w:lvlText w:val="%1."/>
      <w:lvlJc w:val="left"/>
      <w:pPr>
        <w:ind w:left="600" w:hanging="600"/>
      </w:pPr>
      <w:rPr>
        <w:rFonts w:hint="default"/>
        <w:b/>
        <w:bCs/>
        <w:sz w:val="28"/>
        <w:szCs w:val="28"/>
      </w:rPr>
    </w:lvl>
    <w:lvl w:ilvl="1">
      <w:start w:val="12"/>
      <w:numFmt w:val="decimal"/>
      <w:lvlText w:val="%1.%2."/>
      <w:lvlJc w:val="left"/>
      <w:pPr>
        <w:ind w:left="720" w:hanging="720"/>
      </w:pPr>
      <w:rPr>
        <w:rFonts w:hint="default"/>
        <w:color w:val="7030A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793EB3"/>
    <w:multiLevelType w:val="multilevel"/>
    <w:tmpl w:val="5E02C52C"/>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
    <w:nsid w:val="01E4490B"/>
    <w:multiLevelType w:val="multilevel"/>
    <w:tmpl w:val="DF960AB2"/>
    <w:lvl w:ilvl="0">
      <w:start w:val="1"/>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720" w:hanging="360"/>
      </w:pPr>
      <w:rPr>
        <w:rFonts w:ascii="Times New Roman" w:hAnsi="Times New Roman" w:cs="Times New Roman" w:hint="default"/>
        <w:color w:val="auto"/>
      </w:rPr>
    </w:lvl>
    <w:lvl w:ilvl="2">
      <w:start w:val="1"/>
      <w:numFmt w:val="decimal"/>
      <w:lvlText w:val="%1.%2.%3."/>
      <w:lvlJc w:val="left"/>
      <w:pPr>
        <w:ind w:left="1440" w:hanging="720"/>
      </w:pPr>
      <w:rPr>
        <w:rFonts w:ascii="Times New Roman" w:hAnsi="Times New Roman" w:cs="Times New Roman" w:hint="default"/>
        <w:color w:val="auto"/>
      </w:rPr>
    </w:lvl>
    <w:lvl w:ilvl="3">
      <w:start w:val="1"/>
      <w:numFmt w:val="decimal"/>
      <w:lvlText w:val="%1.%2.%3.%4."/>
      <w:lvlJc w:val="left"/>
      <w:pPr>
        <w:ind w:left="1800" w:hanging="720"/>
      </w:pPr>
      <w:rPr>
        <w:rFonts w:ascii="Times New Roman" w:hAnsi="Times New Roman" w:cs="Times New Roman" w:hint="default"/>
        <w:color w:val="auto"/>
      </w:rPr>
    </w:lvl>
    <w:lvl w:ilvl="4">
      <w:start w:val="1"/>
      <w:numFmt w:val="decimal"/>
      <w:lvlText w:val="%1.%2.%3.%4.%5."/>
      <w:lvlJc w:val="left"/>
      <w:pPr>
        <w:ind w:left="2520" w:hanging="1080"/>
      </w:pPr>
      <w:rPr>
        <w:rFonts w:ascii="Times New Roman" w:hAnsi="Times New Roman" w:cs="Times New Roman" w:hint="default"/>
        <w:color w:val="auto"/>
      </w:rPr>
    </w:lvl>
    <w:lvl w:ilvl="5">
      <w:start w:val="1"/>
      <w:numFmt w:val="decimal"/>
      <w:lvlText w:val="%1.%2.%3.%4.%5.%6."/>
      <w:lvlJc w:val="left"/>
      <w:pPr>
        <w:ind w:left="2880" w:hanging="1080"/>
      </w:pPr>
      <w:rPr>
        <w:rFonts w:ascii="Times New Roman" w:hAnsi="Times New Roman" w:cs="Times New Roman" w:hint="default"/>
        <w:color w:val="auto"/>
      </w:rPr>
    </w:lvl>
    <w:lvl w:ilvl="6">
      <w:start w:val="1"/>
      <w:numFmt w:val="decimal"/>
      <w:lvlText w:val="%1.%2.%3.%4.%5.%6.%7."/>
      <w:lvlJc w:val="left"/>
      <w:pPr>
        <w:ind w:left="3600" w:hanging="1440"/>
      </w:pPr>
      <w:rPr>
        <w:rFonts w:ascii="Times New Roman" w:hAnsi="Times New Roman" w:cs="Times New Roman" w:hint="default"/>
        <w:color w:val="auto"/>
      </w:rPr>
    </w:lvl>
    <w:lvl w:ilvl="7">
      <w:start w:val="1"/>
      <w:numFmt w:val="decimal"/>
      <w:lvlText w:val="%1.%2.%3.%4.%5.%6.%7.%8."/>
      <w:lvlJc w:val="left"/>
      <w:pPr>
        <w:ind w:left="3960" w:hanging="1440"/>
      </w:pPr>
      <w:rPr>
        <w:rFonts w:ascii="Times New Roman" w:hAnsi="Times New Roman" w:cs="Times New Roman" w:hint="default"/>
        <w:color w:val="auto"/>
      </w:rPr>
    </w:lvl>
    <w:lvl w:ilvl="8">
      <w:start w:val="1"/>
      <w:numFmt w:val="decimal"/>
      <w:lvlText w:val="%1.%2.%3.%4.%5.%6.%7.%8.%9."/>
      <w:lvlJc w:val="left"/>
      <w:pPr>
        <w:ind w:left="4680" w:hanging="1800"/>
      </w:pPr>
      <w:rPr>
        <w:rFonts w:ascii="Times New Roman" w:hAnsi="Times New Roman" w:cs="Times New Roman" w:hint="default"/>
        <w:color w:val="auto"/>
      </w:rPr>
    </w:lvl>
  </w:abstractNum>
  <w:abstractNum w:abstractNumId="3">
    <w:nsid w:val="0350566C"/>
    <w:multiLevelType w:val="hybridMultilevel"/>
    <w:tmpl w:val="621C6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414672"/>
    <w:multiLevelType w:val="multilevel"/>
    <w:tmpl w:val="84960D7E"/>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
    <w:nsid w:val="0B9D3A49"/>
    <w:multiLevelType w:val="hybridMultilevel"/>
    <w:tmpl w:val="12B02F84"/>
    <w:lvl w:ilvl="0" w:tplc="6B90D996">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932866"/>
    <w:multiLevelType w:val="hybridMultilevel"/>
    <w:tmpl w:val="388019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A529C2"/>
    <w:multiLevelType w:val="hybridMultilevel"/>
    <w:tmpl w:val="57D6FD5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591661"/>
    <w:multiLevelType w:val="hybridMultilevel"/>
    <w:tmpl w:val="818A0F84"/>
    <w:lvl w:ilvl="0" w:tplc="040C000D">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9">
    <w:nsid w:val="0E9E6EB7"/>
    <w:multiLevelType w:val="hybridMultilevel"/>
    <w:tmpl w:val="415E0E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5836EB"/>
    <w:multiLevelType w:val="hybridMultilevel"/>
    <w:tmpl w:val="42D2C3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8014A6"/>
    <w:multiLevelType w:val="hybridMultilevel"/>
    <w:tmpl w:val="9AE82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191E39"/>
    <w:multiLevelType w:val="hybridMultilevel"/>
    <w:tmpl w:val="2E7475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7F7AB7"/>
    <w:multiLevelType w:val="hybridMultilevel"/>
    <w:tmpl w:val="0DB4F7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BC71B4"/>
    <w:multiLevelType w:val="hybridMultilevel"/>
    <w:tmpl w:val="A0E4D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16F65D3"/>
    <w:multiLevelType w:val="multilevel"/>
    <w:tmpl w:val="3C865F8E"/>
    <w:lvl w:ilvl="0">
      <w:start w:val="1"/>
      <w:numFmt w:val="decimal"/>
      <w:lvlText w:val="%1."/>
      <w:lvlJc w:val="left"/>
      <w:pPr>
        <w:ind w:left="720" w:hanging="360"/>
      </w:pPr>
      <w:rPr>
        <w:rFonts w:cs="Times New Roman" w:hint="default"/>
        <w:sz w:val="24"/>
        <w:szCs w:val="24"/>
      </w:rPr>
    </w:lvl>
    <w:lvl w:ilvl="1">
      <w:start w:val="1"/>
      <w:numFmt w:val="decimal"/>
      <w:isLgl/>
      <w:lvlText w:val="%1.%2."/>
      <w:lvlJc w:val="left"/>
      <w:pPr>
        <w:ind w:left="1320" w:hanging="4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38" w:hanging="720"/>
      </w:pPr>
      <w:rPr>
        <w:rFonts w:cs="Times New Roman" w:hint="default"/>
        <w:b/>
        <w:bCs/>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4140" w:hanging="1080"/>
      </w:pPr>
      <w:rPr>
        <w:rFonts w:cs="Times New Roman" w:hint="default"/>
      </w:rPr>
    </w:lvl>
    <w:lvl w:ilvl="6">
      <w:start w:val="1"/>
      <w:numFmt w:val="decimal"/>
      <w:isLgl/>
      <w:lvlText w:val="%1.%2.%3.%4.%5.%6.%7."/>
      <w:lvlJc w:val="left"/>
      <w:pPr>
        <w:ind w:left="5040" w:hanging="1440"/>
      </w:pPr>
      <w:rPr>
        <w:rFonts w:cs="Times New Roman" w:hint="default"/>
      </w:rPr>
    </w:lvl>
    <w:lvl w:ilvl="7">
      <w:start w:val="1"/>
      <w:numFmt w:val="decimal"/>
      <w:isLgl/>
      <w:lvlText w:val="%1.%2.%3.%4.%5.%6.%7.%8."/>
      <w:lvlJc w:val="left"/>
      <w:pPr>
        <w:ind w:left="5580" w:hanging="1440"/>
      </w:pPr>
      <w:rPr>
        <w:rFonts w:cs="Times New Roman" w:hint="default"/>
      </w:rPr>
    </w:lvl>
    <w:lvl w:ilvl="8">
      <w:start w:val="1"/>
      <w:numFmt w:val="decimal"/>
      <w:isLgl/>
      <w:lvlText w:val="%1.%2.%3.%4.%5.%6.%7.%8.%9."/>
      <w:lvlJc w:val="left"/>
      <w:pPr>
        <w:ind w:left="6480" w:hanging="1800"/>
      </w:pPr>
      <w:rPr>
        <w:rFonts w:cs="Times New Roman" w:hint="default"/>
      </w:rPr>
    </w:lvl>
  </w:abstractNum>
  <w:abstractNum w:abstractNumId="16">
    <w:nsid w:val="23AE71A0"/>
    <w:multiLevelType w:val="hybridMultilevel"/>
    <w:tmpl w:val="10469460"/>
    <w:lvl w:ilvl="0" w:tplc="9DD47706">
      <w:start w:val="1"/>
      <w:numFmt w:val="bullet"/>
      <w:lvlText w:val=""/>
      <w:lvlJc w:val="left"/>
      <w:pPr>
        <w:ind w:left="644" w:hanging="360"/>
      </w:pPr>
      <w:rPr>
        <w:rFonts w:ascii="Wingdings" w:hAnsi="Wingdings" w:hint="default"/>
        <w:sz w:val="24"/>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nsid w:val="287B4105"/>
    <w:multiLevelType w:val="hybridMultilevel"/>
    <w:tmpl w:val="20129A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045336"/>
    <w:multiLevelType w:val="hybridMultilevel"/>
    <w:tmpl w:val="E878FC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F01C08"/>
    <w:multiLevelType w:val="hybridMultilevel"/>
    <w:tmpl w:val="23C24F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C60761"/>
    <w:multiLevelType w:val="hybridMultilevel"/>
    <w:tmpl w:val="7E1C5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35A50A6"/>
    <w:multiLevelType w:val="multilevel"/>
    <w:tmpl w:val="1068E6CC"/>
    <w:lvl w:ilvl="0">
      <w:start w:val="1"/>
      <w:numFmt w:val="decimal"/>
      <w:lvlText w:val="%1."/>
      <w:lvlJc w:val="left"/>
      <w:pPr>
        <w:ind w:left="360" w:hanging="360"/>
      </w:pPr>
      <w:rPr>
        <w:rFonts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33B276B3"/>
    <w:multiLevelType w:val="hybridMultilevel"/>
    <w:tmpl w:val="1A8024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73939E1"/>
    <w:multiLevelType w:val="hybridMultilevel"/>
    <w:tmpl w:val="6F14BF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8695481"/>
    <w:multiLevelType w:val="multilevel"/>
    <w:tmpl w:val="CCEAEBA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3CF12396"/>
    <w:multiLevelType w:val="hybridMultilevel"/>
    <w:tmpl w:val="C73843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01B1971"/>
    <w:multiLevelType w:val="multilevel"/>
    <w:tmpl w:val="11346354"/>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bCs/>
        <w:color w:val="7030A0"/>
      </w:rPr>
    </w:lvl>
    <w:lvl w:ilvl="2">
      <w:start w:val="1"/>
      <w:numFmt w:val="decimal"/>
      <w:lvlText w:val="%1.%2.%3."/>
      <w:lvlJc w:val="left"/>
      <w:pPr>
        <w:ind w:left="1004" w:hanging="720"/>
      </w:pPr>
      <w:rPr>
        <w:rFonts w:hint="default"/>
        <w:color w:val="auto"/>
      </w:rPr>
    </w:lvl>
    <w:lvl w:ilvl="3">
      <w:start w:val="1"/>
      <w:numFmt w:val="decimal"/>
      <w:lvlText w:val="%1.%2.%3.%4."/>
      <w:lvlJc w:val="left"/>
      <w:pPr>
        <w:ind w:left="1146" w:hanging="720"/>
      </w:pPr>
      <w:rPr>
        <w:rFonts w:hint="default"/>
        <w:color w:val="auto"/>
      </w:rPr>
    </w:lvl>
    <w:lvl w:ilvl="4">
      <w:start w:val="1"/>
      <w:numFmt w:val="decimal"/>
      <w:lvlText w:val="%1.%2.%3.%4.%5."/>
      <w:lvlJc w:val="left"/>
      <w:pPr>
        <w:ind w:left="1648" w:hanging="1080"/>
      </w:pPr>
      <w:rPr>
        <w:rFonts w:hint="default"/>
        <w:color w:val="auto"/>
      </w:rPr>
    </w:lvl>
    <w:lvl w:ilvl="5">
      <w:start w:val="1"/>
      <w:numFmt w:val="decimal"/>
      <w:lvlText w:val="%1.%2.%3.%4.%5.%6."/>
      <w:lvlJc w:val="left"/>
      <w:pPr>
        <w:ind w:left="1790" w:hanging="1080"/>
      </w:pPr>
      <w:rPr>
        <w:rFonts w:hint="default"/>
        <w:color w:val="auto"/>
      </w:rPr>
    </w:lvl>
    <w:lvl w:ilvl="6">
      <w:start w:val="1"/>
      <w:numFmt w:val="decimal"/>
      <w:lvlText w:val="%1.%2.%3.%4.%5.%6.%7."/>
      <w:lvlJc w:val="left"/>
      <w:pPr>
        <w:ind w:left="2292" w:hanging="1440"/>
      </w:pPr>
      <w:rPr>
        <w:rFonts w:hint="default"/>
        <w:color w:val="auto"/>
      </w:rPr>
    </w:lvl>
    <w:lvl w:ilvl="7">
      <w:start w:val="1"/>
      <w:numFmt w:val="decimal"/>
      <w:lvlText w:val="%1.%2.%3.%4.%5.%6.%7.%8."/>
      <w:lvlJc w:val="left"/>
      <w:pPr>
        <w:ind w:left="2434" w:hanging="1440"/>
      </w:pPr>
      <w:rPr>
        <w:rFonts w:hint="default"/>
        <w:color w:val="auto"/>
      </w:rPr>
    </w:lvl>
    <w:lvl w:ilvl="8">
      <w:start w:val="1"/>
      <w:numFmt w:val="decimal"/>
      <w:lvlText w:val="%1.%2.%3.%4.%5.%6.%7.%8.%9."/>
      <w:lvlJc w:val="left"/>
      <w:pPr>
        <w:ind w:left="2936" w:hanging="1800"/>
      </w:pPr>
      <w:rPr>
        <w:rFonts w:hint="default"/>
        <w:color w:val="auto"/>
      </w:rPr>
    </w:lvl>
  </w:abstractNum>
  <w:abstractNum w:abstractNumId="27">
    <w:nsid w:val="40787BF5"/>
    <w:multiLevelType w:val="hybridMultilevel"/>
    <w:tmpl w:val="7C50AB10"/>
    <w:lvl w:ilvl="0" w:tplc="040C000D">
      <w:start w:val="1"/>
      <w:numFmt w:val="bullet"/>
      <w:lvlText w:val=""/>
      <w:lvlJc w:val="left"/>
      <w:pPr>
        <w:ind w:left="780" w:hanging="360"/>
      </w:pPr>
      <w:rPr>
        <w:rFonts w:ascii="Wingdings" w:hAnsi="Wingdings" w:hint="default"/>
      </w:rPr>
    </w:lvl>
    <w:lvl w:ilvl="1" w:tplc="040C0003">
      <w:start w:val="1"/>
      <w:numFmt w:val="bullet"/>
      <w:lvlText w:val="o"/>
      <w:lvlJc w:val="left"/>
      <w:pPr>
        <w:ind w:left="1500" w:hanging="360"/>
      </w:pPr>
      <w:rPr>
        <w:rFonts w:ascii="Courier New" w:hAnsi="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hint="default"/>
      </w:rPr>
    </w:lvl>
    <w:lvl w:ilvl="8" w:tplc="040C0005">
      <w:start w:val="1"/>
      <w:numFmt w:val="bullet"/>
      <w:lvlText w:val=""/>
      <w:lvlJc w:val="left"/>
      <w:pPr>
        <w:ind w:left="6540" w:hanging="360"/>
      </w:pPr>
      <w:rPr>
        <w:rFonts w:ascii="Wingdings" w:hAnsi="Wingdings" w:hint="default"/>
      </w:rPr>
    </w:lvl>
  </w:abstractNum>
  <w:abstractNum w:abstractNumId="28">
    <w:nsid w:val="40D27AB7"/>
    <w:multiLevelType w:val="hybridMultilevel"/>
    <w:tmpl w:val="8EE20D50"/>
    <w:lvl w:ilvl="0" w:tplc="F5B6F3DA">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nsid w:val="43136063"/>
    <w:multiLevelType w:val="hybridMultilevel"/>
    <w:tmpl w:val="21AAC6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3880D20"/>
    <w:multiLevelType w:val="hybridMultilevel"/>
    <w:tmpl w:val="6658D354"/>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1">
    <w:nsid w:val="44E41C30"/>
    <w:multiLevelType w:val="hybridMultilevel"/>
    <w:tmpl w:val="3E26C1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6085A58"/>
    <w:multiLevelType w:val="multilevel"/>
    <w:tmpl w:val="0AD83DBE"/>
    <w:lvl w:ilvl="0">
      <w:start w:val="6"/>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33">
    <w:nsid w:val="4AC23A75"/>
    <w:multiLevelType w:val="hybridMultilevel"/>
    <w:tmpl w:val="BDACF77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11E3C42"/>
    <w:multiLevelType w:val="hybridMultilevel"/>
    <w:tmpl w:val="0284B9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18773E0"/>
    <w:multiLevelType w:val="hybridMultilevel"/>
    <w:tmpl w:val="6DCCC8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21A02D8"/>
    <w:multiLevelType w:val="hybridMultilevel"/>
    <w:tmpl w:val="A48E67B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31B7F9A"/>
    <w:multiLevelType w:val="multilevel"/>
    <w:tmpl w:val="F93E87CA"/>
    <w:lvl w:ilvl="0">
      <w:start w:val="3"/>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b/>
        <w:bCs w:val="0"/>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8">
    <w:nsid w:val="55927807"/>
    <w:multiLevelType w:val="hybridMultilevel"/>
    <w:tmpl w:val="D0107528"/>
    <w:lvl w:ilvl="0" w:tplc="040C000D">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39">
    <w:nsid w:val="5C045E2B"/>
    <w:multiLevelType w:val="hybridMultilevel"/>
    <w:tmpl w:val="6E705B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0">
    <w:nsid w:val="5EAD50A9"/>
    <w:multiLevelType w:val="multilevel"/>
    <w:tmpl w:val="96DAC046"/>
    <w:lvl w:ilvl="0">
      <w:start w:val="1"/>
      <w:numFmt w:val="decimal"/>
      <w:lvlText w:val="%1."/>
      <w:lvlJc w:val="left"/>
      <w:pPr>
        <w:ind w:left="720" w:hanging="360"/>
      </w:pPr>
      <w:rPr>
        <w:rFonts w:ascii="Times New Roman" w:eastAsiaTheme="minorEastAsia" w:hAnsi="Times New Roman" w:cs="Times New Roman" w:hint="default"/>
        <w:b/>
      </w:rPr>
    </w:lvl>
    <w:lvl w:ilvl="1">
      <w:start w:val="1"/>
      <w:numFmt w:val="decimal"/>
      <w:isLgl/>
      <w:lvlText w:val="%1.%2."/>
      <w:lvlJc w:val="left"/>
      <w:pPr>
        <w:ind w:left="1080" w:hanging="720"/>
      </w:pPr>
      <w:rPr>
        <w:rFonts w:hint="default"/>
        <w:b/>
        <w:bCs/>
        <w:color w:val="7030A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61390D86"/>
    <w:multiLevelType w:val="hybridMultilevel"/>
    <w:tmpl w:val="17BA93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4FC5131"/>
    <w:multiLevelType w:val="hybridMultilevel"/>
    <w:tmpl w:val="E190128A"/>
    <w:lvl w:ilvl="0" w:tplc="82463B32">
      <w:start w:val="1"/>
      <w:numFmt w:val="decimal"/>
      <w:lvlText w:val="%1."/>
      <w:lvlJc w:val="left"/>
      <w:pPr>
        <w:ind w:left="360" w:hanging="360"/>
      </w:pPr>
      <w:rPr>
        <w:b w:val="0"/>
        <w:bCs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62C7B62"/>
    <w:multiLevelType w:val="hybridMultilevel"/>
    <w:tmpl w:val="668208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8E30E66"/>
    <w:multiLevelType w:val="hybridMultilevel"/>
    <w:tmpl w:val="2FBCAC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C7F1E72"/>
    <w:multiLevelType w:val="hybridMultilevel"/>
    <w:tmpl w:val="7B7829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CB647E7"/>
    <w:multiLevelType w:val="multilevel"/>
    <w:tmpl w:val="707221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D50653E"/>
    <w:multiLevelType w:val="hybridMultilevel"/>
    <w:tmpl w:val="B45A834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6F874F66"/>
    <w:multiLevelType w:val="hybridMultilevel"/>
    <w:tmpl w:val="A7F85094"/>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9">
    <w:nsid w:val="73A378A6"/>
    <w:multiLevelType w:val="multilevel"/>
    <w:tmpl w:val="C8608556"/>
    <w:lvl w:ilvl="0">
      <w:start w:val="1"/>
      <w:numFmt w:val="decimal"/>
      <w:lvlText w:val="%1."/>
      <w:lvlJc w:val="left"/>
      <w:pPr>
        <w:ind w:left="644" w:hanging="360"/>
      </w:pPr>
      <w:rPr>
        <w:rFonts w:ascii="Times New Roman" w:eastAsiaTheme="minorEastAsia" w:hAnsi="Times New Roman" w:cs="Times New Roman" w:hint="default"/>
        <w:b/>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50">
    <w:nsid w:val="740F3ED0"/>
    <w:multiLevelType w:val="hybridMultilevel"/>
    <w:tmpl w:val="01C07D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4A47B52"/>
    <w:multiLevelType w:val="hybridMultilevel"/>
    <w:tmpl w:val="BD1EC2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4F65D22"/>
    <w:multiLevelType w:val="hybridMultilevel"/>
    <w:tmpl w:val="3B7EA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D0446DB"/>
    <w:multiLevelType w:val="hybridMultilevel"/>
    <w:tmpl w:val="E0944A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9"/>
  </w:num>
  <w:num w:numId="3">
    <w:abstractNumId w:val="15"/>
  </w:num>
  <w:num w:numId="4">
    <w:abstractNumId w:val="32"/>
  </w:num>
  <w:num w:numId="5">
    <w:abstractNumId w:val="7"/>
  </w:num>
  <w:num w:numId="6">
    <w:abstractNumId w:val="27"/>
  </w:num>
  <w:num w:numId="7">
    <w:abstractNumId w:val="46"/>
  </w:num>
  <w:num w:numId="8">
    <w:abstractNumId w:val="21"/>
  </w:num>
  <w:num w:numId="9">
    <w:abstractNumId w:val="48"/>
  </w:num>
  <w:num w:numId="10">
    <w:abstractNumId w:val="30"/>
  </w:num>
  <w:num w:numId="11">
    <w:abstractNumId w:val="51"/>
  </w:num>
  <w:num w:numId="12">
    <w:abstractNumId w:val="17"/>
  </w:num>
  <w:num w:numId="13">
    <w:abstractNumId w:val="52"/>
  </w:num>
  <w:num w:numId="14">
    <w:abstractNumId w:val="29"/>
  </w:num>
  <w:num w:numId="15">
    <w:abstractNumId w:val="10"/>
  </w:num>
  <w:num w:numId="16">
    <w:abstractNumId w:val="36"/>
  </w:num>
  <w:num w:numId="17">
    <w:abstractNumId w:val="45"/>
  </w:num>
  <w:num w:numId="18">
    <w:abstractNumId w:val="47"/>
  </w:num>
  <w:num w:numId="19">
    <w:abstractNumId w:val="20"/>
  </w:num>
  <w:num w:numId="20">
    <w:abstractNumId w:val="23"/>
  </w:num>
  <w:num w:numId="21">
    <w:abstractNumId w:val="18"/>
  </w:num>
  <w:num w:numId="22">
    <w:abstractNumId w:val="33"/>
  </w:num>
  <w:num w:numId="23">
    <w:abstractNumId w:val="9"/>
  </w:num>
  <w:num w:numId="24">
    <w:abstractNumId w:val="22"/>
  </w:num>
  <w:num w:numId="25">
    <w:abstractNumId w:val="50"/>
  </w:num>
  <w:num w:numId="26">
    <w:abstractNumId w:val="25"/>
  </w:num>
  <w:num w:numId="27">
    <w:abstractNumId w:val="28"/>
  </w:num>
  <w:num w:numId="28">
    <w:abstractNumId w:val="44"/>
  </w:num>
  <w:num w:numId="29">
    <w:abstractNumId w:val="12"/>
  </w:num>
  <w:num w:numId="30">
    <w:abstractNumId w:val="13"/>
  </w:num>
  <w:num w:numId="31">
    <w:abstractNumId w:val="3"/>
  </w:num>
  <w:num w:numId="32">
    <w:abstractNumId w:val="41"/>
  </w:num>
  <w:num w:numId="33">
    <w:abstractNumId w:val="19"/>
  </w:num>
  <w:num w:numId="34">
    <w:abstractNumId w:val="53"/>
  </w:num>
  <w:num w:numId="35">
    <w:abstractNumId w:val="34"/>
  </w:num>
  <w:num w:numId="36">
    <w:abstractNumId w:val="31"/>
  </w:num>
  <w:num w:numId="37">
    <w:abstractNumId w:val="8"/>
  </w:num>
  <w:num w:numId="38">
    <w:abstractNumId w:val="6"/>
  </w:num>
  <w:num w:numId="39">
    <w:abstractNumId w:val="14"/>
  </w:num>
  <w:num w:numId="40">
    <w:abstractNumId w:val="35"/>
  </w:num>
  <w:num w:numId="41">
    <w:abstractNumId w:val="43"/>
  </w:num>
  <w:num w:numId="42">
    <w:abstractNumId w:val="37"/>
  </w:num>
  <w:num w:numId="43">
    <w:abstractNumId w:val="11"/>
  </w:num>
  <w:num w:numId="44">
    <w:abstractNumId w:val="38"/>
  </w:num>
  <w:num w:numId="45">
    <w:abstractNumId w:val="16"/>
  </w:num>
  <w:num w:numId="46">
    <w:abstractNumId w:val="24"/>
  </w:num>
  <w:num w:numId="47">
    <w:abstractNumId w:val="2"/>
  </w:num>
  <w:num w:numId="48">
    <w:abstractNumId w:val="0"/>
  </w:num>
  <w:num w:numId="49">
    <w:abstractNumId w:val="26"/>
  </w:num>
  <w:num w:numId="50">
    <w:abstractNumId w:val="49"/>
  </w:num>
  <w:num w:numId="51">
    <w:abstractNumId w:val="42"/>
  </w:num>
  <w:num w:numId="52">
    <w:abstractNumId w:val="5"/>
  </w:num>
  <w:num w:numId="53">
    <w:abstractNumId w:val="4"/>
  </w:num>
  <w:num w:numId="54">
    <w:abstractNumId w:val="40"/>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241CCC"/>
    <w:rsid w:val="0000215C"/>
    <w:rsid w:val="00006F11"/>
    <w:rsid w:val="0002016D"/>
    <w:rsid w:val="0002676B"/>
    <w:rsid w:val="00031EE6"/>
    <w:rsid w:val="00034C57"/>
    <w:rsid w:val="00054C74"/>
    <w:rsid w:val="00063B7B"/>
    <w:rsid w:val="000736E4"/>
    <w:rsid w:val="000945D3"/>
    <w:rsid w:val="000A7E50"/>
    <w:rsid w:val="000D7877"/>
    <w:rsid w:val="000E53CA"/>
    <w:rsid w:val="00102D46"/>
    <w:rsid w:val="0010728D"/>
    <w:rsid w:val="00116A6A"/>
    <w:rsid w:val="00117831"/>
    <w:rsid w:val="0012664B"/>
    <w:rsid w:val="00172811"/>
    <w:rsid w:val="00194992"/>
    <w:rsid w:val="001D4718"/>
    <w:rsid w:val="001E60C0"/>
    <w:rsid w:val="001F0BC4"/>
    <w:rsid w:val="002005BC"/>
    <w:rsid w:val="0022104A"/>
    <w:rsid w:val="00241571"/>
    <w:rsid w:val="00241CCC"/>
    <w:rsid w:val="002E51ED"/>
    <w:rsid w:val="002F4B74"/>
    <w:rsid w:val="00313380"/>
    <w:rsid w:val="003224C2"/>
    <w:rsid w:val="0033651D"/>
    <w:rsid w:val="003400D9"/>
    <w:rsid w:val="00373B99"/>
    <w:rsid w:val="0039729C"/>
    <w:rsid w:val="003C680A"/>
    <w:rsid w:val="003F3925"/>
    <w:rsid w:val="004121D2"/>
    <w:rsid w:val="00430191"/>
    <w:rsid w:val="0044739A"/>
    <w:rsid w:val="0049040A"/>
    <w:rsid w:val="00497D95"/>
    <w:rsid w:val="004A5E91"/>
    <w:rsid w:val="004C2FB0"/>
    <w:rsid w:val="004E2073"/>
    <w:rsid w:val="004E7251"/>
    <w:rsid w:val="004F6709"/>
    <w:rsid w:val="0050450F"/>
    <w:rsid w:val="00522460"/>
    <w:rsid w:val="00532E6D"/>
    <w:rsid w:val="005350A8"/>
    <w:rsid w:val="005450F2"/>
    <w:rsid w:val="005477A2"/>
    <w:rsid w:val="00553717"/>
    <w:rsid w:val="0057792C"/>
    <w:rsid w:val="0058162F"/>
    <w:rsid w:val="005B5AC0"/>
    <w:rsid w:val="006205BC"/>
    <w:rsid w:val="006278B9"/>
    <w:rsid w:val="00640476"/>
    <w:rsid w:val="006465F3"/>
    <w:rsid w:val="00685F22"/>
    <w:rsid w:val="00692771"/>
    <w:rsid w:val="006A1E61"/>
    <w:rsid w:val="006A7DEF"/>
    <w:rsid w:val="006C75AC"/>
    <w:rsid w:val="006D2195"/>
    <w:rsid w:val="00724513"/>
    <w:rsid w:val="0079243F"/>
    <w:rsid w:val="00797475"/>
    <w:rsid w:val="007D4B8D"/>
    <w:rsid w:val="007E17D9"/>
    <w:rsid w:val="007F3B1A"/>
    <w:rsid w:val="00800CDF"/>
    <w:rsid w:val="00824C86"/>
    <w:rsid w:val="00860EC0"/>
    <w:rsid w:val="00897A0F"/>
    <w:rsid w:val="008B59EE"/>
    <w:rsid w:val="008C2A81"/>
    <w:rsid w:val="008E2539"/>
    <w:rsid w:val="008F12B7"/>
    <w:rsid w:val="00933B05"/>
    <w:rsid w:val="00975870"/>
    <w:rsid w:val="0099475E"/>
    <w:rsid w:val="009B673C"/>
    <w:rsid w:val="009E1290"/>
    <w:rsid w:val="00A112CB"/>
    <w:rsid w:val="00A21FB0"/>
    <w:rsid w:val="00A3519A"/>
    <w:rsid w:val="00A85806"/>
    <w:rsid w:val="00A86FCA"/>
    <w:rsid w:val="00AC6643"/>
    <w:rsid w:val="00AD3B72"/>
    <w:rsid w:val="00AD4B19"/>
    <w:rsid w:val="00B42024"/>
    <w:rsid w:val="00B46A2F"/>
    <w:rsid w:val="00B65962"/>
    <w:rsid w:val="00B87DF9"/>
    <w:rsid w:val="00B87FFD"/>
    <w:rsid w:val="00B905F0"/>
    <w:rsid w:val="00B92483"/>
    <w:rsid w:val="00BF5DC7"/>
    <w:rsid w:val="00C015E5"/>
    <w:rsid w:val="00C110F8"/>
    <w:rsid w:val="00C44085"/>
    <w:rsid w:val="00C50859"/>
    <w:rsid w:val="00C60720"/>
    <w:rsid w:val="00C70C0B"/>
    <w:rsid w:val="00C91FA9"/>
    <w:rsid w:val="00CD3351"/>
    <w:rsid w:val="00D200EC"/>
    <w:rsid w:val="00D267DC"/>
    <w:rsid w:val="00D41129"/>
    <w:rsid w:val="00D43164"/>
    <w:rsid w:val="00D766ED"/>
    <w:rsid w:val="00DB0FC3"/>
    <w:rsid w:val="00DC664D"/>
    <w:rsid w:val="00DD75A2"/>
    <w:rsid w:val="00E158C9"/>
    <w:rsid w:val="00E433FA"/>
    <w:rsid w:val="00E506DC"/>
    <w:rsid w:val="00E54399"/>
    <w:rsid w:val="00E71F00"/>
    <w:rsid w:val="00E96A63"/>
    <w:rsid w:val="00EB6B9B"/>
    <w:rsid w:val="00ED3E57"/>
    <w:rsid w:val="00ED3E7B"/>
    <w:rsid w:val="00F13CB0"/>
    <w:rsid w:val="00F1402E"/>
    <w:rsid w:val="00F24FBE"/>
    <w:rsid w:val="00F27246"/>
    <w:rsid w:val="00FA1DF3"/>
    <w:rsid w:val="00FD0646"/>
    <w:rsid w:val="00FD65A6"/>
    <w:rsid w:val="00FE71B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7170"/>
    <o:shapelayout v:ext="edit">
      <o:idmap v:ext="edit" data="1"/>
      <o:rules v:ext="edit">
        <o:r id="V:Rule9" type="connector" idref="#Connecteur droit avec flèche 44"/>
        <o:r id="V:Rule10" type="connector" idref="#Connecteur droit avec flèche 42"/>
        <o:r id="V:Rule11" type="connector" idref="#Connecteur droit avec flèche 43"/>
        <o:r id="V:Rule12" type="connector" idref="#Connecteur droit avec flèche 37"/>
        <o:r id="V:Rule13" type="connector" idref="#Connecteur droit avec flèche 38"/>
        <o:r id="V:Rule14" type="connector" idref="#Connecteur droit avec flèche 41"/>
        <o:r id="V:Rule15" type="connector" idref="#Connecteur droit avec flèche 39"/>
        <o:r id="V:Rule16" type="connector" idref="#Connecteur droit avec flèche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CCC"/>
    <w:pPr>
      <w:spacing w:after="160" w:line="259" w:lineRule="auto"/>
    </w:pPr>
  </w:style>
  <w:style w:type="paragraph" w:styleId="Titre2">
    <w:name w:val="heading 2"/>
    <w:basedOn w:val="Normal"/>
    <w:next w:val="Normal"/>
    <w:link w:val="Titre2Car"/>
    <w:uiPriority w:val="9"/>
    <w:unhideWhenUsed/>
    <w:qFormat/>
    <w:rsid w:val="00E158C9"/>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bidi="ar-DZ"/>
    </w:rPr>
  </w:style>
  <w:style w:type="paragraph" w:styleId="Titre3">
    <w:name w:val="heading 3"/>
    <w:basedOn w:val="Normal"/>
    <w:next w:val="Normal"/>
    <w:link w:val="Titre3Car"/>
    <w:uiPriority w:val="9"/>
    <w:unhideWhenUsed/>
    <w:qFormat/>
    <w:rsid w:val="00034C57"/>
    <w:pPr>
      <w:keepNext/>
      <w:keepLines/>
      <w:spacing w:before="200" w:after="0" w:line="276" w:lineRule="auto"/>
      <w:outlineLvl w:val="2"/>
    </w:pPr>
    <w:rPr>
      <w:rFonts w:asciiTheme="majorHAnsi" w:eastAsiaTheme="majorEastAsia" w:hAnsiTheme="majorHAnsi" w:cs="Times New Roman"/>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0728D"/>
    <w:pPr>
      <w:tabs>
        <w:tab w:val="center" w:pos="4153"/>
        <w:tab w:val="right" w:pos="8306"/>
      </w:tabs>
      <w:spacing w:after="0" w:line="240" w:lineRule="auto"/>
    </w:pPr>
  </w:style>
  <w:style w:type="character" w:customStyle="1" w:styleId="En-tteCar">
    <w:name w:val="En-tête Car"/>
    <w:basedOn w:val="Policepardfaut"/>
    <w:link w:val="En-tte"/>
    <w:uiPriority w:val="99"/>
    <w:rsid w:val="0010728D"/>
  </w:style>
  <w:style w:type="paragraph" w:styleId="Pieddepage">
    <w:name w:val="footer"/>
    <w:basedOn w:val="Normal"/>
    <w:link w:val="PieddepageCar"/>
    <w:uiPriority w:val="99"/>
    <w:unhideWhenUsed/>
    <w:rsid w:val="0010728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0728D"/>
  </w:style>
  <w:style w:type="paragraph" w:styleId="Textedebulles">
    <w:name w:val="Balloon Text"/>
    <w:basedOn w:val="Normal"/>
    <w:link w:val="TextedebullesCar"/>
    <w:uiPriority w:val="99"/>
    <w:semiHidden/>
    <w:unhideWhenUsed/>
    <w:rsid w:val="00F140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402E"/>
    <w:rPr>
      <w:rFonts w:ascii="Tahoma" w:hAnsi="Tahoma" w:cs="Tahoma"/>
      <w:sz w:val="16"/>
      <w:szCs w:val="16"/>
    </w:rPr>
  </w:style>
  <w:style w:type="character" w:customStyle="1" w:styleId="Titre3Car">
    <w:name w:val="Titre 3 Car"/>
    <w:basedOn w:val="Policepardfaut"/>
    <w:link w:val="Titre3"/>
    <w:uiPriority w:val="9"/>
    <w:rsid w:val="00034C57"/>
    <w:rPr>
      <w:rFonts w:asciiTheme="majorHAnsi" w:eastAsiaTheme="majorEastAsia" w:hAnsiTheme="majorHAnsi" w:cs="Times New Roman"/>
      <w:b/>
      <w:bCs/>
      <w:color w:val="4F81BD" w:themeColor="accent1"/>
    </w:rPr>
  </w:style>
  <w:style w:type="paragraph" w:customStyle="1" w:styleId="Default">
    <w:name w:val="Default"/>
    <w:rsid w:val="00034C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aragraphedeliste">
    <w:name w:val="List Paragraph"/>
    <w:basedOn w:val="Normal"/>
    <w:uiPriority w:val="34"/>
    <w:qFormat/>
    <w:rsid w:val="00034C57"/>
    <w:pPr>
      <w:spacing w:after="200" w:line="276" w:lineRule="auto"/>
      <w:ind w:left="720"/>
      <w:contextualSpacing/>
    </w:pPr>
    <w:rPr>
      <w:rFonts w:eastAsia="Times New Roman" w:cs="Arial"/>
    </w:rPr>
  </w:style>
  <w:style w:type="character" w:customStyle="1" w:styleId="apple-converted-space">
    <w:name w:val="apple-converted-space"/>
    <w:basedOn w:val="Policepardfaut"/>
    <w:rsid w:val="00034C57"/>
    <w:rPr>
      <w:rFonts w:cs="Times New Roman"/>
    </w:rPr>
  </w:style>
  <w:style w:type="table" w:styleId="Tramemoyenne1-Accent4">
    <w:name w:val="Medium Shading 1 Accent 4"/>
    <w:basedOn w:val="TableauNormal"/>
    <w:uiPriority w:val="63"/>
    <w:rsid w:val="00034C57"/>
    <w:pPr>
      <w:spacing w:after="0" w:line="240" w:lineRule="auto"/>
    </w:pPr>
    <w:rPr>
      <w:rFonts w:eastAsia="Times New Roman" w:cs="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Autospacing="0" w:afterLines="0" w:afterAutospacing="0"/>
      </w:pPr>
      <w:rPr>
        <w:rFonts w:cs="Arial"/>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Autospacing="0" w:afterLines="0" w:afterAutospacing="0"/>
      </w:pPr>
      <w:rPr>
        <w:rFonts w:cs="Arial"/>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FD8E8" w:themeFill="accent4" w:themeFillTint="3F"/>
      </w:tcPr>
    </w:tblStylePr>
    <w:tblStylePr w:type="band1Horz">
      <w:rPr>
        <w:rFonts w:cs="Arial"/>
      </w:rPr>
      <w:tblPr/>
      <w:tcPr>
        <w:tcBorders>
          <w:insideH w:val="nil"/>
          <w:insideV w:val="nil"/>
        </w:tcBorders>
        <w:shd w:val="clear" w:color="auto" w:fill="DFD8E8" w:themeFill="accent4" w:themeFillTint="3F"/>
      </w:tcPr>
    </w:tblStylePr>
    <w:tblStylePr w:type="band2Horz">
      <w:rPr>
        <w:rFonts w:cs="Arial"/>
      </w:rPr>
      <w:tblPr/>
      <w:tcPr>
        <w:tcBorders>
          <w:insideH w:val="nil"/>
          <w:insideV w:val="nil"/>
        </w:tcBorders>
      </w:tcPr>
    </w:tblStylePr>
  </w:style>
  <w:style w:type="character" w:styleId="Lienhypertexte">
    <w:name w:val="Hyperlink"/>
    <w:basedOn w:val="Policepardfaut"/>
    <w:uiPriority w:val="99"/>
    <w:unhideWhenUsed/>
    <w:rsid w:val="00034C57"/>
    <w:rPr>
      <w:rFonts w:cs="Times New Roman"/>
      <w:color w:val="0000FF" w:themeColor="hyperlink"/>
      <w:u w:val="single"/>
    </w:rPr>
  </w:style>
  <w:style w:type="table" w:customStyle="1" w:styleId="Tramemoyenne1-Accent41">
    <w:name w:val="Trame moyenne 1 - Accent 41"/>
    <w:basedOn w:val="TableauNormal"/>
    <w:next w:val="Tramemoyenne1-Accent4"/>
    <w:uiPriority w:val="63"/>
    <w:rsid w:val="0057792C"/>
    <w:pPr>
      <w:spacing w:after="0" w:line="240" w:lineRule="auto"/>
    </w:pPr>
    <w:rPr>
      <w:rFonts w:eastAsia="Times New Roman" w:cs="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Autospacing="0" w:afterLines="0" w:afterAutospacing="0"/>
      </w:pPr>
      <w:rPr>
        <w:rFonts w:cs="Arial"/>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Autospacing="0" w:afterLines="0" w:afterAutospacing="0"/>
      </w:pPr>
      <w:rPr>
        <w:rFonts w:cs="Arial"/>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FD8E8" w:themeFill="accent4" w:themeFillTint="3F"/>
      </w:tcPr>
    </w:tblStylePr>
    <w:tblStylePr w:type="band1Horz">
      <w:rPr>
        <w:rFonts w:cs="Arial"/>
      </w:rPr>
      <w:tblPr/>
      <w:tcPr>
        <w:tcBorders>
          <w:insideH w:val="nil"/>
          <w:insideV w:val="nil"/>
        </w:tcBorders>
        <w:shd w:val="clear" w:color="auto" w:fill="DFD8E8" w:themeFill="accent4" w:themeFillTint="3F"/>
      </w:tcPr>
    </w:tblStylePr>
    <w:tblStylePr w:type="band2Horz">
      <w:rPr>
        <w:rFonts w:cs="Arial"/>
      </w:rPr>
      <w:tblPr/>
      <w:tcPr>
        <w:tcBorders>
          <w:insideH w:val="nil"/>
          <w:insideV w:val="nil"/>
        </w:tcBorders>
      </w:tcPr>
    </w:tblStylePr>
  </w:style>
  <w:style w:type="table" w:styleId="Grilledutableau">
    <w:name w:val="Table Grid"/>
    <w:basedOn w:val="TableauNormal"/>
    <w:uiPriority w:val="59"/>
    <w:rsid w:val="005224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2">
    <w:name w:val="Grid Table 2 Accent 2"/>
    <w:basedOn w:val="TableauNormal"/>
    <w:uiPriority w:val="47"/>
    <w:rsid w:val="00DC664D"/>
    <w:pPr>
      <w:spacing w:after="0" w:line="240" w:lineRule="auto"/>
    </w:pPr>
    <w:rPr>
      <w:rFonts w:eastAsia="Times New Roman" w:cs="Arial"/>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rFonts w:cs="Arial"/>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rFonts w:cs="Arial"/>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rFonts w:cs="Arial"/>
        <w:b/>
        <w:bCs/>
      </w:rPr>
    </w:tblStylePr>
    <w:tblStylePr w:type="lastCol">
      <w:rPr>
        <w:rFonts w:cs="Arial"/>
        <w:b/>
        <w:bCs/>
      </w:rPr>
    </w:tblStylePr>
    <w:tblStylePr w:type="band1Vert">
      <w:rPr>
        <w:rFonts w:cs="Arial"/>
      </w:rPr>
      <w:tblPr/>
      <w:tcPr>
        <w:shd w:val="clear" w:color="auto" w:fill="F2DBDB" w:themeFill="accent2" w:themeFillTint="33"/>
      </w:tcPr>
    </w:tblStylePr>
    <w:tblStylePr w:type="band1Horz">
      <w:rPr>
        <w:rFonts w:cs="Arial"/>
      </w:rPr>
      <w:tblPr/>
      <w:tcPr>
        <w:shd w:val="clear" w:color="auto" w:fill="F2DBDB" w:themeFill="accent2" w:themeFillTint="33"/>
      </w:tcPr>
    </w:tblStylePr>
  </w:style>
  <w:style w:type="table" w:styleId="Grilleclaire-Accent4">
    <w:name w:val="Light Grid Accent 4"/>
    <w:basedOn w:val="TableauNormal"/>
    <w:uiPriority w:val="62"/>
    <w:rsid w:val="00DC664D"/>
    <w:pPr>
      <w:spacing w:after="0" w:line="240" w:lineRule="auto"/>
    </w:pPr>
    <w:rPr>
      <w:rFonts w:eastAsia="Times New Roman" w:cs="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rPr>
        <w:rFonts w:cs="Arial"/>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rPr>
        <w:rFonts w:cs="Arial"/>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rPr>
        <w:rFonts w:cs="Arial"/>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DC664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BF5DC7"/>
    <w:pPr>
      <w:spacing w:after="200" w:line="240" w:lineRule="auto"/>
    </w:pPr>
    <w:rPr>
      <w:rFonts w:eastAsia="Times New Roman" w:cs="Arial"/>
      <w:b/>
      <w:bCs/>
      <w:color w:val="4F81BD" w:themeColor="accent1"/>
      <w:sz w:val="18"/>
      <w:szCs w:val="18"/>
    </w:rPr>
  </w:style>
  <w:style w:type="character" w:customStyle="1" w:styleId="Titre2Car">
    <w:name w:val="Titre 2 Car"/>
    <w:basedOn w:val="Policepardfaut"/>
    <w:link w:val="Titre2"/>
    <w:uiPriority w:val="9"/>
    <w:rsid w:val="00E158C9"/>
    <w:rPr>
      <w:rFonts w:asciiTheme="majorHAnsi" w:eastAsiaTheme="majorEastAsia" w:hAnsiTheme="majorHAnsi" w:cstheme="majorBidi"/>
      <w:b/>
      <w:bCs/>
      <w:color w:val="4F81BD" w:themeColor="accent1"/>
      <w:sz w:val="26"/>
      <w:szCs w:val="26"/>
      <w:lang w:bidi="ar-DZ"/>
    </w:rPr>
  </w:style>
  <w:style w:type="character" w:customStyle="1" w:styleId="cit">
    <w:name w:val="cit"/>
    <w:basedOn w:val="Policepardfaut"/>
    <w:rsid w:val="00E158C9"/>
  </w:style>
  <w:style w:type="character" w:styleId="lev">
    <w:name w:val="Strong"/>
    <w:basedOn w:val="Policepardfaut"/>
    <w:uiPriority w:val="22"/>
    <w:qFormat/>
    <w:rsid w:val="00E71F00"/>
    <w:rPr>
      <w:b/>
      <w:bCs/>
    </w:rPr>
  </w:style>
  <w:style w:type="character" w:customStyle="1" w:styleId="textenormal">
    <w:name w:val="textenormal"/>
    <w:basedOn w:val="Policepardfaut"/>
    <w:rsid w:val="00E71F00"/>
  </w:style>
  <w:style w:type="character" w:customStyle="1" w:styleId="Corpsdutexte">
    <w:name w:val="Corps du texte"/>
    <w:basedOn w:val="Policepardfaut"/>
    <w:rsid w:val="00E71F00"/>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fr-FR"/>
    </w:rPr>
  </w:style>
  <w:style w:type="table" w:styleId="Listeclaire-Accent4">
    <w:name w:val="Light List Accent 4"/>
    <w:basedOn w:val="TableauNormal"/>
    <w:uiPriority w:val="61"/>
    <w:rsid w:val="00ED3E5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CCC"/>
    <w:pPr>
      <w:spacing w:after="160" w:line="259" w:lineRule="auto"/>
    </w:pPr>
  </w:style>
  <w:style w:type="paragraph" w:styleId="Titre2">
    <w:name w:val="heading 2"/>
    <w:basedOn w:val="Normal"/>
    <w:next w:val="Normal"/>
    <w:link w:val="Titre2Car"/>
    <w:uiPriority w:val="9"/>
    <w:unhideWhenUsed/>
    <w:qFormat/>
    <w:rsid w:val="00E158C9"/>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bidi="ar-DZ"/>
    </w:rPr>
  </w:style>
  <w:style w:type="paragraph" w:styleId="Titre3">
    <w:name w:val="heading 3"/>
    <w:basedOn w:val="Normal"/>
    <w:next w:val="Normal"/>
    <w:link w:val="Titre3Car"/>
    <w:uiPriority w:val="9"/>
    <w:unhideWhenUsed/>
    <w:qFormat/>
    <w:rsid w:val="00034C57"/>
    <w:pPr>
      <w:keepNext/>
      <w:keepLines/>
      <w:spacing w:before="200" w:after="0" w:line="276" w:lineRule="auto"/>
      <w:outlineLvl w:val="2"/>
    </w:pPr>
    <w:rPr>
      <w:rFonts w:asciiTheme="majorHAnsi" w:eastAsiaTheme="majorEastAsia" w:hAnsiTheme="majorHAnsi" w:cs="Times New Roman"/>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0728D"/>
    <w:pPr>
      <w:tabs>
        <w:tab w:val="center" w:pos="4153"/>
        <w:tab w:val="right" w:pos="8306"/>
      </w:tabs>
      <w:spacing w:after="0" w:line="240" w:lineRule="auto"/>
    </w:pPr>
  </w:style>
  <w:style w:type="character" w:customStyle="1" w:styleId="En-tteCar">
    <w:name w:val="En-tête Car"/>
    <w:basedOn w:val="Policepardfaut"/>
    <w:link w:val="En-tte"/>
    <w:uiPriority w:val="99"/>
    <w:rsid w:val="0010728D"/>
  </w:style>
  <w:style w:type="paragraph" w:styleId="Pieddepage">
    <w:name w:val="footer"/>
    <w:basedOn w:val="Normal"/>
    <w:link w:val="PieddepageCar"/>
    <w:uiPriority w:val="99"/>
    <w:unhideWhenUsed/>
    <w:rsid w:val="0010728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0728D"/>
  </w:style>
  <w:style w:type="paragraph" w:styleId="Textedebulles">
    <w:name w:val="Balloon Text"/>
    <w:basedOn w:val="Normal"/>
    <w:link w:val="TextedebullesCar"/>
    <w:uiPriority w:val="99"/>
    <w:semiHidden/>
    <w:unhideWhenUsed/>
    <w:rsid w:val="00F140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402E"/>
    <w:rPr>
      <w:rFonts w:ascii="Tahoma" w:hAnsi="Tahoma" w:cs="Tahoma"/>
      <w:sz w:val="16"/>
      <w:szCs w:val="16"/>
    </w:rPr>
  </w:style>
  <w:style w:type="character" w:customStyle="1" w:styleId="Titre3Car">
    <w:name w:val="Titre 3 Car"/>
    <w:basedOn w:val="Policepardfaut"/>
    <w:link w:val="Titre3"/>
    <w:uiPriority w:val="9"/>
    <w:rsid w:val="00034C57"/>
    <w:rPr>
      <w:rFonts w:asciiTheme="majorHAnsi" w:eastAsiaTheme="majorEastAsia" w:hAnsiTheme="majorHAnsi" w:cs="Times New Roman"/>
      <w:b/>
      <w:bCs/>
      <w:color w:val="4F81BD" w:themeColor="accent1"/>
    </w:rPr>
  </w:style>
  <w:style w:type="paragraph" w:customStyle="1" w:styleId="Default">
    <w:name w:val="Default"/>
    <w:rsid w:val="00034C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aragraphedeliste">
    <w:name w:val="List Paragraph"/>
    <w:basedOn w:val="Normal"/>
    <w:uiPriority w:val="34"/>
    <w:qFormat/>
    <w:rsid w:val="00034C57"/>
    <w:pPr>
      <w:spacing w:after="200" w:line="276" w:lineRule="auto"/>
      <w:ind w:left="720"/>
      <w:contextualSpacing/>
    </w:pPr>
    <w:rPr>
      <w:rFonts w:eastAsia="Times New Roman" w:cs="Arial"/>
    </w:rPr>
  </w:style>
  <w:style w:type="character" w:customStyle="1" w:styleId="apple-converted-space">
    <w:name w:val="apple-converted-space"/>
    <w:basedOn w:val="Policepardfaut"/>
    <w:rsid w:val="00034C57"/>
    <w:rPr>
      <w:rFonts w:cs="Times New Roman"/>
    </w:rPr>
  </w:style>
  <w:style w:type="table" w:styleId="Tramemoyenne1-Accent4">
    <w:name w:val="Medium Shading 1 Accent 4"/>
    <w:basedOn w:val="TableauNormal"/>
    <w:uiPriority w:val="63"/>
    <w:rsid w:val="00034C57"/>
    <w:pPr>
      <w:spacing w:after="0" w:line="240" w:lineRule="auto"/>
    </w:pPr>
    <w:rPr>
      <w:rFonts w:eastAsia="Times New Roman" w:cs="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Autospacing="0" w:afterLines="0" w:afterAutospacing="0"/>
      </w:pPr>
      <w:rPr>
        <w:rFonts w:cs="Arial"/>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Autospacing="0" w:afterLines="0" w:afterAutospacing="0"/>
      </w:pPr>
      <w:rPr>
        <w:rFonts w:cs="Arial"/>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FD8E8" w:themeFill="accent4" w:themeFillTint="3F"/>
      </w:tcPr>
    </w:tblStylePr>
    <w:tblStylePr w:type="band1Horz">
      <w:rPr>
        <w:rFonts w:cs="Arial"/>
      </w:rPr>
      <w:tblPr/>
      <w:tcPr>
        <w:tcBorders>
          <w:insideH w:val="nil"/>
          <w:insideV w:val="nil"/>
        </w:tcBorders>
        <w:shd w:val="clear" w:color="auto" w:fill="DFD8E8" w:themeFill="accent4" w:themeFillTint="3F"/>
      </w:tcPr>
    </w:tblStylePr>
    <w:tblStylePr w:type="band2Horz">
      <w:rPr>
        <w:rFonts w:cs="Arial"/>
      </w:rPr>
      <w:tblPr/>
      <w:tcPr>
        <w:tcBorders>
          <w:insideH w:val="nil"/>
          <w:insideV w:val="nil"/>
        </w:tcBorders>
      </w:tcPr>
    </w:tblStylePr>
  </w:style>
  <w:style w:type="character" w:styleId="Lienhypertexte">
    <w:name w:val="Hyperlink"/>
    <w:basedOn w:val="Policepardfaut"/>
    <w:uiPriority w:val="99"/>
    <w:unhideWhenUsed/>
    <w:rsid w:val="00034C57"/>
    <w:rPr>
      <w:rFonts w:cs="Times New Roman"/>
      <w:color w:val="0000FF" w:themeColor="hyperlink"/>
      <w:u w:val="single"/>
    </w:rPr>
  </w:style>
  <w:style w:type="table" w:customStyle="1" w:styleId="Tramemoyenne1-Accent41">
    <w:name w:val="Trame moyenne 1 - Accent 41"/>
    <w:basedOn w:val="TableauNormal"/>
    <w:next w:val="Tramemoyenne1-Accent4"/>
    <w:uiPriority w:val="63"/>
    <w:rsid w:val="0057792C"/>
    <w:pPr>
      <w:spacing w:after="0" w:line="240" w:lineRule="auto"/>
    </w:pPr>
    <w:rPr>
      <w:rFonts w:eastAsia="Times New Roman" w:cs="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Autospacing="0" w:afterLines="0" w:afterAutospacing="0"/>
      </w:pPr>
      <w:rPr>
        <w:rFonts w:cs="Arial"/>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Autospacing="0" w:afterLines="0" w:afterAutospacing="0"/>
      </w:pPr>
      <w:rPr>
        <w:rFonts w:cs="Arial"/>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FD8E8" w:themeFill="accent4" w:themeFillTint="3F"/>
      </w:tcPr>
    </w:tblStylePr>
    <w:tblStylePr w:type="band1Horz">
      <w:rPr>
        <w:rFonts w:cs="Arial"/>
      </w:rPr>
      <w:tblPr/>
      <w:tcPr>
        <w:tcBorders>
          <w:insideH w:val="nil"/>
          <w:insideV w:val="nil"/>
        </w:tcBorders>
        <w:shd w:val="clear" w:color="auto" w:fill="DFD8E8" w:themeFill="accent4" w:themeFillTint="3F"/>
      </w:tcPr>
    </w:tblStylePr>
    <w:tblStylePr w:type="band2Horz">
      <w:rPr>
        <w:rFonts w:cs="Arial"/>
      </w:rPr>
      <w:tblPr/>
      <w:tcPr>
        <w:tcBorders>
          <w:insideH w:val="nil"/>
          <w:insideV w:val="nil"/>
        </w:tcBorders>
      </w:tcPr>
    </w:tblStylePr>
  </w:style>
  <w:style w:type="table" w:styleId="Grilledutableau">
    <w:name w:val="Table Grid"/>
    <w:basedOn w:val="TableauNormal"/>
    <w:uiPriority w:val="59"/>
    <w:rsid w:val="005224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2">
    <w:name w:val="Grid Table 2 Accent 2"/>
    <w:basedOn w:val="TableauNormal"/>
    <w:uiPriority w:val="47"/>
    <w:rsid w:val="00DC664D"/>
    <w:pPr>
      <w:spacing w:after="0" w:line="240" w:lineRule="auto"/>
    </w:pPr>
    <w:rPr>
      <w:rFonts w:eastAsia="Times New Roman" w:cs="Arial"/>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rFonts w:cs="Arial"/>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rFonts w:cs="Arial"/>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rFonts w:cs="Arial"/>
        <w:b/>
        <w:bCs/>
      </w:rPr>
    </w:tblStylePr>
    <w:tblStylePr w:type="lastCol">
      <w:rPr>
        <w:rFonts w:cs="Arial"/>
        <w:b/>
        <w:bCs/>
      </w:rPr>
    </w:tblStylePr>
    <w:tblStylePr w:type="band1Vert">
      <w:rPr>
        <w:rFonts w:cs="Arial"/>
      </w:rPr>
      <w:tblPr/>
      <w:tcPr>
        <w:shd w:val="clear" w:color="auto" w:fill="F2DBDB" w:themeFill="accent2" w:themeFillTint="33"/>
      </w:tcPr>
    </w:tblStylePr>
    <w:tblStylePr w:type="band1Horz">
      <w:rPr>
        <w:rFonts w:cs="Arial"/>
      </w:rPr>
      <w:tblPr/>
      <w:tcPr>
        <w:shd w:val="clear" w:color="auto" w:fill="F2DBDB" w:themeFill="accent2" w:themeFillTint="33"/>
      </w:tcPr>
    </w:tblStylePr>
  </w:style>
  <w:style w:type="table" w:styleId="Grilleclaire-Accent4">
    <w:name w:val="Light Grid Accent 4"/>
    <w:basedOn w:val="TableauNormal"/>
    <w:uiPriority w:val="62"/>
    <w:rsid w:val="00DC664D"/>
    <w:pPr>
      <w:spacing w:after="0" w:line="240" w:lineRule="auto"/>
    </w:pPr>
    <w:rPr>
      <w:rFonts w:eastAsia="Times New Roman" w:cs="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rPr>
        <w:rFonts w:cs="Arial"/>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rPr>
        <w:rFonts w:cs="Arial"/>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rPr>
        <w:rFonts w:cs="Arial"/>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DC664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BF5DC7"/>
    <w:pPr>
      <w:spacing w:after="200" w:line="240" w:lineRule="auto"/>
    </w:pPr>
    <w:rPr>
      <w:rFonts w:eastAsia="Times New Roman" w:cs="Arial"/>
      <w:b/>
      <w:bCs/>
      <w:color w:val="4F81BD" w:themeColor="accent1"/>
      <w:sz w:val="18"/>
      <w:szCs w:val="18"/>
    </w:rPr>
  </w:style>
  <w:style w:type="character" w:customStyle="1" w:styleId="Titre2Car">
    <w:name w:val="Titre 2 Car"/>
    <w:basedOn w:val="Policepardfaut"/>
    <w:link w:val="Titre2"/>
    <w:uiPriority w:val="9"/>
    <w:rsid w:val="00E158C9"/>
    <w:rPr>
      <w:rFonts w:asciiTheme="majorHAnsi" w:eastAsiaTheme="majorEastAsia" w:hAnsiTheme="majorHAnsi" w:cstheme="majorBidi"/>
      <w:b/>
      <w:bCs/>
      <w:color w:val="4F81BD" w:themeColor="accent1"/>
      <w:sz w:val="26"/>
      <w:szCs w:val="26"/>
      <w:lang w:bidi="ar-DZ"/>
    </w:rPr>
  </w:style>
  <w:style w:type="character" w:customStyle="1" w:styleId="cit">
    <w:name w:val="cit"/>
    <w:basedOn w:val="Policepardfaut"/>
    <w:rsid w:val="00E158C9"/>
  </w:style>
  <w:style w:type="character" w:styleId="lev">
    <w:name w:val="Strong"/>
    <w:basedOn w:val="Policepardfaut"/>
    <w:uiPriority w:val="22"/>
    <w:qFormat/>
    <w:rsid w:val="00E71F00"/>
    <w:rPr>
      <w:b/>
      <w:bCs/>
    </w:rPr>
  </w:style>
  <w:style w:type="character" w:customStyle="1" w:styleId="textenormal">
    <w:name w:val="textenormal"/>
    <w:basedOn w:val="Policepardfaut"/>
    <w:rsid w:val="00E71F00"/>
  </w:style>
  <w:style w:type="character" w:customStyle="1" w:styleId="Corpsdutexte">
    <w:name w:val="Corps du texte"/>
    <w:basedOn w:val="Policepardfaut"/>
    <w:rsid w:val="00E71F00"/>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fr-FR"/>
    </w:rPr>
  </w:style>
</w:styles>
</file>

<file path=word/webSettings.xml><?xml version="1.0" encoding="utf-8"?>
<w:webSettings xmlns:r="http://schemas.openxmlformats.org/officeDocument/2006/relationships" xmlns:w="http://schemas.openxmlformats.org/wordprocessingml/2006/main">
  <w:divs>
    <w:div w:id="375667072">
      <w:bodyDiv w:val="1"/>
      <w:marLeft w:val="0"/>
      <w:marRight w:val="0"/>
      <w:marTop w:val="0"/>
      <w:marBottom w:val="0"/>
      <w:divBdr>
        <w:top w:val="none" w:sz="0" w:space="0" w:color="auto"/>
        <w:left w:val="none" w:sz="0" w:space="0" w:color="auto"/>
        <w:bottom w:val="none" w:sz="0" w:space="0" w:color="auto"/>
        <w:right w:val="none" w:sz="0" w:space="0" w:color="auto"/>
      </w:divBdr>
    </w:div>
    <w:div w:id="536744776">
      <w:bodyDiv w:val="1"/>
      <w:marLeft w:val="0"/>
      <w:marRight w:val="0"/>
      <w:marTop w:val="0"/>
      <w:marBottom w:val="0"/>
      <w:divBdr>
        <w:top w:val="none" w:sz="0" w:space="0" w:color="auto"/>
        <w:left w:val="none" w:sz="0" w:space="0" w:color="auto"/>
        <w:bottom w:val="none" w:sz="0" w:space="0" w:color="auto"/>
        <w:right w:val="none" w:sz="0" w:space="0" w:color="auto"/>
      </w:divBdr>
    </w:div>
    <w:div w:id="576212529">
      <w:bodyDiv w:val="1"/>
      <w:marLeft w:val="0"/>
      <w:marRight w:val="0"/>
      <w:marTop w:val="0"/>
      <w:marBottom w:val="0"/>
      <w:divBdr>
        <w:top w:val="none" w:sz="0" w:space="0" w:color="auto"/>
        <w:left w:val="none" w:sz="0" w:space="0" w:color="auto"/>
        <w:bottom w:val="none" w:sz="0" w:space="0" w:color="auto"/>
        <w:right w:val="none" w:sz="0" w:space="0" w:color="auto"/>
      </w:divBdr>
    </w:div>
    <w:div w:id="656542625">
      <w:bodyDiv w:val="1"/>
      <w:marLeft w:val="0"/>
      <w:marRight w:val="0"/>
      <w:marTop w:val="0"/>
      <w:marBottom w:val="0"/>
      <w:divBdr>
        <w:top w:val="none" w:sz="0" w:space="0" w:color="auto"/>
        <w:left w:val="none" w:sz="0" w:space="0" w:color="auto"/>
        <w:bottom w:val="none" w:sz="0" w:space="0" w:color="auto"/>
        <w:right w:val="none" w:sz="0" w:space="0" w:color="auto"/>
      </w:divBdr>
    </w:div>
    <w:div w:id="753625757">
      <w:bodyDiv w:val="1"/>
      <w:marLeft w:val="0"/>
      <w:marRight w:val="0"/>
      <w:marTop w:val="0"/>
      <w:marBottom w:val="0"/>
      <w:divBdr>
        <w:top w:val="none" w:sz="0" w:space="0" w:color="auto"/>
        <w:left w:val="none" w:sz="0" w:space="0" w:color="auto"/>
        <w:bottom w:val="none" w:sz="0" w:space="0" w:color="auto"/>
        <w:right w:val="none" w:sz="0" w:space="0" w:color="auto"/>
      </w:divBdr>
    </w:div>
    <w:div w:id="894200248">
      <w:bodyDiv w:val="1"/>
      <w:marLeft w:val="0"/>
      <w:marRight w:val="0"/>
      <w:marTop w:val="0"/>
      <w:marBottom w:val="0"/>
      <w:divBdr>
        <w:top w:val="none" w:sz="0" w:space="0" w:color="auto"/>
        <w:left w:val="none" w:sz="0" w:space="0" w:color="auto"/>
        <w:bottom w:val="none" w:sz="0" w:space="0" w:color="auto"/>
        <w:right w:val="none" w:sz="0" w:space="0" w:color="auto"/>
      </w:divBdr>
    </w:div>
    <w:div w:id="17631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8.png"/><Relationship Id="rId39" Type="http://schemas.openxmlformats.org/officeDocument/2006/relationships/hyperlink" Target="http://www.jle.com/fr/recherche/recherche.phtml?dans=auteur&amp;texte=F+Helle" TargetMode="External"/><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hyperlink" Target="http://www.jle.com/fr/recherche/recherche.phtml?dans=auteur&amp;texte=F+Helle" TargetMode="External"/><Relationship Id="rId47" Type="http://schemas.openxmlformats.org/officeDocument/2006/relationships/header" Target="header8.xml"/><Relationship Id="rId50" Type="http://schemas.openxmlformats.org/officeDocument/2006/relationships/footer" Target="footer4.xml"/><Relationship Id="rId55" Type="http://schemas.openxmlformats.org/officeDocument/2006/relationships/header" Target="header10.xml"/><Relationship Id="rId63" Type="http://schemas.openxmlformats.org/officeDocument/2006/relationships/chart" Target="charts/chart5.xml"/><Relationship Id="rId68" Type="http://schemas.openxmlformats.org/officeDocument/2006/relationships/footer" Target="footer8.xml"/><Relationship Id="rId76" Type="http://schemas.openxmlformats.org/officeDocument/2006/relationships/hyperlink" Target="http://www.ncbi.nlm.nih.gov/pubmed/?term=Jiang%20J%5Bauth%5D"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emf"/><Relationship Id="rId37" Type="http://schemas.openxmlformats.org/officeDocument/2006/relationships/hyperlink" Target="http://www.jle.com/fr/recherche/recherche.phtml?dans=auteur&amp;texte=F+Helle" TargetMode="External"/><Relationship Id="rId40" Type="http://schemas.openxmlformats.org/officeDocument/2006/relationships/hyperlink" Target="http://www.jle.com/fr/recherche/recherche.phtml?dans=auteur&amp;texte=L+Cocquerel+" TargetMode="External"/><Relationship Id="rId45" Type="http://schemas.openxmlformats.org/officeDocument/2006/relationships/image" Target="media/image21.emf"/><Relationship Id="rId53" Type="http://schemas.openxmlformats.org/officeDocument/2006/relationships/image" Target="media/image24.png"/><Relationship Id="rId58" Type="http://schemas.openxmlformats.org/officeDocument/2006/relationships/footer" Target="footer6.xml"/><Relationship Id="rId66" Type="http://schemas.openxmlformats.org/officeDocument/2006/relationships/footer" Target="footer7.xml"/><Relationship Id="rId74" Type="http://schemas.openxmlformats.org/officeDocument/2006/relationships/footer" Target="footer11.xml"/><Relationship Id="rId79" Type="http://schemas.openxmlformats.org/officeDocument/2006/relationships/hyperlink" Target="http://www.jle.com/fr/recherche/recherche.phtml?dans=auteur&amp;texte=A.+Sassolas" TargetMode="External"/><Relationship Id="rId5" Type="http://schemas.openxmlformats.org/officeDocument/2006/relationships/webSettings" Target="webSettings.xml"/><Relationship Id="rId61" Type="http://schemas.openxmlformats.org/officeDocument/2006/relationships/chart" Target="charts/chart3.xml"/><Relationship Id="rId82" Type="http://schemas.openxmlformats.org/officeDocument/2006/relationships/image" Target="media/image28.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http://e-learning.univ-tebessa.dz/file.php/1/sesnv.png" TargetMode="Externa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yperlink" Target="http://www.jle.com/fr/recherche/recherche.phtml?dans=auteur&amp;texte=L+Cocquerel+" TargetMode="External"/><Relationship Id="rId48" Type="http://schemas.openxmlformats.org/officeDocument/2006/relationships/footer" Target="footer3.xml"/><Relationship Id="rId56" Type="http://schemas.openxmlformats.org/officeDocument/2006/relationships/footer" Target="footer5.xml"/><Relationship Id="rId64" Type="http://schemas.openxmlformats.org/officeDocument/2006/relationships/chart" Target="charts/chart6.xml"/><Relationship Id="rId69" Type="http://schemas.openxmlformats.org/officeDocument/2006/relationships/hyperlink" Target="http://www.jle.com/fr/recherche/recherche.phtml?dans=auteur&amp;texte=A.+Sassolas" TargetMode="External"/><Relationship Id="rId77" Type="http://schemas.openxmlformats.org/officeDocument/2006/relationships/hyperlink" Target="http://www.ncbi.nlm.nih.gov/pubmed/?term=Cai%20Z%5Bauth%5D" TargetMode="External"/><Relationship Id="rId8" Type="http://schemas.openxmlformats.org/officeDocument/2006/relationships/image" Target="media/image1.png"/><Relationship Id="rId51" Type="http://schemas.openxmlformats.org/officeDocument/2006/relationships/hyperlink" Target="https://www.google.dz/url?sa=t&amp;rct=j&amp;q=&amp;esrc=s&amp;source=web&amp;cd=1&amp;cad=rja&amp;uact=8&amp;ved=0ahUKEwi_9IDu0oTMAhWDNhoKHdECCcYQFggaMAA&amp;url=http%3A%2F%2Fwww.nuve.com.tr%2Ffr%2Fproducts%2Fnf-200-small-centrifuge&amp;usg=AFQjCNEUT485iIY3jw73z20q3NpYW42e3g" TargetMode="External"/><Relationship Id="rId72" Type="http://schemas.openxmlformats.org/officeDocument/2006/relationships/header" Target="header15.xml"/><Relationship Id="rId80" Type="http://schemas.openxmlformats.org/officeDocument/2006/relationships/hyperlink" Target="http://www.jle.com/fr/recherche/recherche.phtml?dans=auteur&amp;texte=R.+Cartier"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hyperlink" Target="http://www.hepatites.net/index.php?name=PNphpBB2&amp;file=viewtopic&amp;t=23722" TargetMode="External"/><Relationship Id="rId33" Type="http://schemas.openxmlformats.org/officeDocument/2006/relationships/image" Target="media/image15.emf"/><Relationship Id="rId38" Type="http://schemas.openxmlformats.org/officeDocument/2006/relationships/hyperlink" Target="http://www.jle.com/fr/recherche/recherche.phtml?dans=auteur&amp;texte=L+Cocquerel+" TargetMode="External"/><Relationship Id="rId46" Type="http://schemas.openxmlformats.org/officeDocument/2006/relationships/image" Target="media/image22.emf"/><Relationship Id="rId59" Type="http://schemas.openxmlformats.org/officeDocument/2006/relationships/chart" Target="charts/chart1.xml"/><Relationship Id="rId67" Type="http://schemas.openxmlformats.org/officeDocument/2006/relationships/header" Target="header13.xml"/><Relationship Id="rId20" Type="http://schemas.openxmlformats.org/officeDocument/2006/relationships/image" Target="media/image3.emf"/><Relationship Id="rId41" Type="http://schemas.openxmlformats.org/officeDocument/2006/relationships/image" Target="media/image19.emf"/><Relationship Id="rId54" Type="http://schemas.openxmlformats.org/officeDocument/2006/relationships/hyperlink" Target="http://www.aly-abbara.com/utilitaires/statistiques/khi_carre_rr_odds_ratio_ic.html" TargetMode="External"/><Relationship Id="rId62" Type="http://schemas.openxmlformats.org/officeDocument/2006/relationships/chart" Target="charts/chart4.xml"/><Relationship Id="rId70" Type="http://schemas.openxmlformats.org/officeDocument/2006/relationships/header" Target="header14.xml"/><Relationship Id="rId75" Type="http://schemas.openxmlformats.org/officeDocument/2006/relationships/hyperlink" Target="http://www.ncbi.nlm.nih.gov/pubmed/?term=Chang%20KS%5Bauth%5D" TargetMode="External"/><Relationship Id="rId83"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9.xml"/><Relationship Id="rId57" Type="http://schemas.openxmlformats.org/officeDocument/2006/relationships/header" Target="header1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image" Target="media/image23.png"/><Relationship Id="rId60" Type="http://schemas.openxmlformats.org/officeDocument/2006/relationships/chart" Target="charts/chart2.xml"/><Relationship Id="rId65" Type="http://schemas.openxmlformats.org/officeDocument/2006/relationships/header" Target="header12.xml"/><Relationship Id="rId73" Type="http://schemas.openxmlformats.org/officeDocument/2006/relationships/footer" Target="footer10.xml"/><Relationship Id="rId78" Type="http://schemas.openxmlformats.org/officeDocument/2006/relationships/hyperlink" Target="http://www.ncbi.nlm.nih.gov/pubmed/?term=Luo%20G%5Bauth%5D" TargetMode="External"/><Relationship Id="rId81" Type="http://schemas.openxmlformats.org/officeDocument/2006/relationships/footer" Target="footer12.xml"/><Relationship Id="rId86"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Feuill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Feuill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7"/>
  <c:clrMapOvr bg1="lt1" tx1="dk1" bg2="lt2" tx2="dk2" accent1="accent1" accent2="accent2" accent3="accent3" accent4="accent4" accent5="accent5" accent6="accent6" hlink="hlink" folHlink="folHlink"/>
  <c:chart>
    <c:autoTitleDeleted val="1"/>
    <c:view3D>
      <c:depthPercent val="100"/>
      <c:rAngAx val="1"/>
    </c:view3D>
    <c:plotArea>
      <c:layout/>
      <c:bar3DChart>
        <c:barDir val="col"/>
        <c:grouping val="clustered"/>
        <c:ser>
          <c:idx val="0"/>
          <c:order val="0"/>
          <c:tx>
            <c:strRef>
              <c:f>Feuil1!$B$6</c:f>
              <c:strCache>
                <c:ptCount val="1"/>
                <c:pt idx="0">
                  <c:v>fréquance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solidFill>
                <a:srgbClr val="FF66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Feuil1!$A$7:$A$8</c:f>
              <c:strCache>
                <c:ptCount val="2"/>
                <c:pt idx="0">
                  <c:v>Homme</c:v>
                </c:pt>
                <c:pt idx="1">
                  <c:v>Femme</c:v>
                </c:pt>
              </c:strCache>
            </c:strRef>
          </c:cat>
          <c:val>
            <c:numRef>
              <c:f>Feuil1!$B$7:$B$8</c:f>
              <c:numCache>
                <c:formatCode>0%</c:formatCode>
                <c:ptCount val="2"/>
                <c:pt idx="0">
                  <c:v>0.31000000000000066</c:v>
                </c:pt>
                <c:pt idx="1">
                  <c:v>0.69000000000000072</c:v>
                </c:pt>
              </c:numCache>
            </c:numRef>
          </c:val>
        </c:ser>
        <c:gapWidth val="300"/>
        <c:shape val="cylinder"/>
        <c:axId val="161650944"/>
        <c:axId val="163561856"/>
        <c:axId val="0"/>
      </c:bar3DChart>
      <c:catAx>
        <c:axId val="161650944"/>
        <c:scaling>
          <c:orientation val="minMax"/>
        </c:scaling>
        <c:axPos val="b"/>
        <c:title>
          <c:tx>
            <c:rich>
              <a:bodyPr/>
              <a:lstStyle/>
              <a:p>
                <a:pPr>
                  <a:defRPr sz="996" b="1" i="0" u="none" strike="noStrike" baseline="0">
                    <a:solidFill>
                      <a:srgbClr val="000000"/>
                    </a:solidFill>
                    <a:latin typeface="Calibri"/>
                    <a:ea typeface="Calibri"/>
                    <a:cs typeface="Calibri"/>
                  </a:defRPr>
                </a:pPr>
                <a:r>
                  <a:rPr lang="fr-FR"/>
                  <a:t>sexe</a:t>
                </a:r>
              </a:p>
            </c:rich>
          </c:tx>
        </c:title>
        <c:numFmt formatCode="General" sourceLinked="1"/>
        <c:majorTickMark val="none"/>
        <c:tickLblPos val="nextTo"/>
        <c:crossAx val="163561856"/>
        <c:crosses val="autoZero"/>
        <c:auto val="1"/>
        <c:lblAlgn val="ctr"/>
        <c:lblOffset val="100"/>
      </c:catAx>
      <c:valAx>
        <c:axId val="163561856"/>
        <c:scaling>
          <c:orientation val="minMax"/>
        </c:scaling>
        <c:axPos val="l"/>
        <c:majorGridlines/>
        <c:title>
          <c:tx>
            <c:rich>
              <a:bodyPr/>
              <a:lstStyle/>
              <a:p>
                <a:pPr>
                  <a:defRPr sz="996" b="1" i="0" u="none" strike="noStrike" baseline="0">
                    <a:solidFill>
                      <a:srgbClr val="000000"/>
                    </a:solidFill>
                    <a:latin typeface="Calibri"/>
                    <a:ea typeface="Calibri"/>
                    <a:cs typeface="Calibri"/>
                  </a:defRPr>
                </a:pPr>
                <a:r>
                  <a:rPr lang="fr-FR"/>
                  <a:t>fréquance %</a:t>
                </a:r>
              </a:p>
            </c:rich>
          </c:tx>
        </c:title>
        <c:numFmt formatCode="0%" sourceLinked="1"/>
        <c:tickLblPos val="nextTo"/>
        <c:crossAx val="161650944"/>
        <c:crosses val="autoZero"/>
        <c:crossBetween val="between"/>
      </c:valAx>
      <c:spPr>
        <a:noFill/>
        <a:ln w="25413">
          <a:noFill/>
        </a:ln>
      </c:spPr>
    </c:plotArea>
    <c:legend>
      <c:legendPos val="r"/>
    </c:legend>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72440944881891"/>
          <c:y val="0.11848809209025735"/>
          <c:w val="0.71819354966992766"/>
          <c:h val="0.70592559549641065"/>
        </c:manualLayout>
      </c:layout>
      <c:barChart>
        <c:barDir val="col"/>
        <c:grouping val="clustered"/>
        <c:ser>
          <c:idx val="0"/>
          <c:order val="0"/>
          <c:tx>
            <c:strRef>
              <c:f>Feuil1!$B$1</c:f>
              <c:strCache>
                <c:ptCount val="1"/>
                <c:pt idx="0">
                  <c:v>fréquance %</c:v>
                </c:pt>
              </c:strCache>
            </c:strRef>
          </c:tx>
          <c:dPt>
            <c:idx val="0"/>
            <c:spPr>
              <a:solidFill>
                <a:srgbClr val="9933FF"/>
              </a:solidFill>
            </c:spPr>
          </c:dPt>
          <c:dPt>
            <c:idx val="1"/>
            <c:spPr>
              <a:solidFill>
                <a:srgbClr val="FF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solidFill>
                <a:srgbClr val="99CC00"/>
              </a:solidFill>
            </c:spPr>
          </c:dPt>
          <c:cat>
            <c:strRef>
              <c:f>Feuil1!$A$2:$A$4</c:f>
              <c:strCache>
                <c:ptCount val="3"/>
                <c:pt idx="0">
                  <c:v>&lt;40</c:v>
                </c:pt>
                <c:pt idx="1">
                  <c:v>40-59</c:v>
                </c:pt>
                <c:pt idx="2">
                  <c:v>≥60</c:v>
                </c:pt>
              </c:strCache>
            </c:strRef>
          </c:cat>
          <c:val>
            <c:numRef>
              <c:f>Feuil1!$B$2:$B$4</c:f>
              <c:numCache>
                <c:formatCode>0%</c:formatCode>
                <c:ptCount val="3"/>
                <c:pt idx="0">
                  <c:v>0.12000000000000002</c:v>
                </c:pt>
                <c:pt idx="1">
                  <c:v>0.49000000000000032</c:v>
                </c:pt>
                <c:pt idx="2">
                  <c:v>0.39000000000000073</c:v>
                </c:pt>
              </c:numCache>
            </c:numRef>
          </c:val>
        </c:ser>
        <c:gapWidth val="300"/>
        <c:axId val="163587200"/>
        <c:axId val="163589120"/>
      </c:barChart>
      <c:catAx>
        <c:axId val="163587200"/>
        <c:scaling>
          <c:orientation val="minMax"/>
        </c:scaling>
        <c:axPos val="b"/>
        <c:title>
          <c:tx>
            <c:rich>
              <a:bodyPr/>
              <a:lstStyle/>
              <a:p>
                <a:pPr>
                  <a:defRPr sz="978" b="1" i="0" u="none" strike="noStrike" baseline="0">
                    <a:solidFill>
                      <a:srgbClr val="000000"/>
                    </a:solidFill>
                    <a:latin typeface="Calibri"/>
                    <a:ea typeface="Calibri"/>
                    <a:cs typeface="Calibri"/>
                  </a:defRPr>
                </a:pPr>
                <a:r>
                  <a:rPr lang="fr-FR"/>
                  <a:t>ages des patients </a:t>
                </a:r>
              </a:p>
            </c:rich>
          </c:tx>
        </c:title>
        <c:numFmt formatCode="General" sourceLinked="1"/>
        <c:majorTickMark val="none"/>
        <c:tickLblPos val="nextTo"/>
        <c:crossAx val="163589120"/>
        <c:crosses val="autoZero"/>
        <c:auto val="1"/>
        <c:lblAlgn val="ctr"/>
        <c:lblOffset val="100"/>
      </c:catAx>
      <c:valAx>
        <c:axId val="163589120"/>
        <c:scaling>
          <c:orientation val="minMax"/>
        </c:scaling>
        <c:axPos val="l"/>
        <c:majorGridlines/>
        <c:title>
          <c:tx>
            <c:rich>
              <a:bodyPr/>
              <a:lstStyle/>
              <a:p>
                <a:pPr>
                  <a:defRPr sz="978" b="1" i="0" u="none" strike="noStrike" baseline="0">
                    <a:solidFill>
                      <a:srgbClr val="000000"/>
                    </a:solidFill>
                    <a:latin typeface="Calibri"/>
                    <a:ea typeface="Calibri"/>
                    <a:cs typeface="Calibri"/>
                  </a:defRPr>
                </a:pPr>
                <a:r>
                  <a:rPr lang="fr-FR"/>
                  <a:t>fréquance % </a:t>
                </a:r>
              </a:p>
            </c:rich>
          </c:tx>
        </c:title>
        <c:numFmt formatCode="0%" sourceLinked="1"/>
        <c:tickLblPos val="nextTo"/>
        <c:crossAx val="163587200"/>
        <c:crosses val="autoZero"/>
        <c:crossBetween val="between"/>
      </c:valAx>
    </c:plotArea>
    <c:legend>
      <c:legendPos val="r"/>
    </c:legend>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Feuil1!$F$44</c:f>
              <c:strCache>
                <c:ptCount val="1"/>
                <c:pt idx="0">
                  <c:v>taux de choléterol</c:v>
                </c:pt>
              </c:strCache>
            </c:strRef>
          </c:tx>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Feuil1!$G$43:$I$43</c:f>
              <c:strCache>
                <c:ptCount val="3"/>
                <c:pt idx="0">
                  <c:v>F0/1</c:v>
                </c:pt>
                <c:pt idx="1">
                  <c:v>F2</c:v>
                </c:pt>
                <c:pt idx="2">
                  <c:v>F3</c:v>
                </c:pt>
              </c:strCache>
            </c:strRef>
          </c:cat>
          <c:val>
            <c:numRef>
              <c:f>Feuil1!$G$44:$I$44</c:f>
              <c:numCache>
                <c:formatCode>General</c:formatCode>
                <c:ptCount val="3"/>
                <c:pt idx="0">
                  <c:v>1.9300000000000022</c:v>
                </c:pt>
                <c:pt idx="1">
                  <c:v>1.0900000000000001</c:v>
                </c:pt>
                <c:pt idx="2">
                  <c:v>0.78</c:v>
                </c:pt>
              </c:numCache>
            </c:numRef>
          </c:val>
        </c:ser>
        <c:shape val="box"/>
        <c:axId val="163724288"/>
        <c:axId val="163738368"/>
        <c:axId val="0"/>
      </c:bar3DChart>
      <c:catAx>
        <c:axId val="163724288"/>
        <c:scaling>
          <c:orientation val="minMax"/>
        </c:scaling>
        <c:axPos val="b"/>
        <c:tickLblPos val="nextTo"/>
        <c:crossAx val="163738368"/>
        <c:crosses val="autoZero"/>
        <c:auto val="1"/>
        <c:lblAlgn val="ctr"/>
        <c:lblOffset val="100"/>
      </c:catAx>
      <c:valAx>
        <c:axId val="163738368"/>
        <c:scaling>
          <c:orientation val="minMax"/>
        </c:scaling>
        <c:axPos val="l"/>
        <c:majorGridlines/>
        <c:numFmt formatCode="General" sourceLinked="1"/>
        <c:tickLblPos val="nextTo"/>
        <c:crossAx val="163724288"/>
        <c:crosses val="autoZero"/>
        <c:crossBetween val="between"/>
      </c:valAx>
    </c:plotArea>
    <c:legend>
      <c:legendPos val="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Feuil1!$H$19</c:f>
              <c:strCache>
                <c:ptCount val="1"/>
                <c:pt idx="0">
                  <c:v>taux d'LDL </c:v>
                </c:pt>
              </c:strCache>
            </c:strRef>
          </c:tx>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Feuil1!$I$18:$K$18</c:f>
              <c:strCache>
                <c:ptCount val="3"/>
                <c:pt idx="0">
                  <c:v>F0/1</c:v>
                </c:pt>
                <c:pt idx="1">
                  <c:v>F2</c:v>
                </c:pt>
                <c:pt idx="2">
                  <c:v>F3</c:v>
                </c:pt>
              </c:strCache>
            </c:strRef>
          </c:cat>
          <c:val>
            <c:numRef>
              <c:f>Feuil1!$I$19:$K$19</c:f>
              <c:numCache>
                <c:formatCode>General</c:formatCode>
                <c:ptCount val="3"/>
                <c:pt idx="0">
                  <c:v>0.95000000000000062</c:v>
                </c:pt>
                <c:pt idx="1">
                  <c:v>0.93799999999999994</c:v>
                </c:pt>
                <c:pt idx="2">
                  <c:v>0.93357142857142861</c:v>
                </c:pt>
              </c:numCache>
            </c:numRef>
          </c:val>
        </c:ser>
        <c:shape val="box"/>
        <c:axId val="163160832"/>
        <c:axId val="163162368"/>
        <c:axId val="0"/>
      </c:bar3DChart>
      <c:catAx>
        <c:axId val="163160832"/>
        <c:scaling>
          <c:orientation val="minMax"/>
        </c:scaling>
        <c:axPos val="b"/>
        <c:tickLblPos val="nextTo"/>
        <c:crossAx val="163162368"/>
        <c:crosses val="autoZero"/>
        <c:auto val="1"/>
        <c:lblAlgn val="ctr"/>
        <c:lblOffset val="100"/>
      </c:catAx>
      <c:valAx>
        <c:axId val="163162368"/>
        <c:scaling>
          <c:orientation val="minMax"/>
        </c:scaling>
        <c:axPos val="l"/>
        <c:majorGridlines/>
        <c:numFmt formatCode="General" sourceLinked="1"/>
        <c:tickLblPos val="nextTo"/>
        <c:crossAx val="163160832"/>
        <c:crosses val="autoZero"/>
        <c:crossBetween val="between"/>
      </c:valAx>
    </c:plotArea>
    <c:legend>
      <c:legendPos val="r"/>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Feuil1!$M$22</c:f>
              <c:strCache>
                <c:ptCount val="1"/>
                <c:pt idx="0">
                  <c:v>taux d'HDL</c:v>
                </c:pt>
              </c:strCache>
            </c:strRef>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Feuil1!$N$21:$P$21</c:f>
              <c:strCache>
                <c:ptCount val="3"/>
                <c:pt idx="0">
                  <c:v>F0/1</c:v>
                </c:pt>
                <c:pt idx="1">
                  <c:v>F2</c:v>
                </c:pt>
                <c:pt idx="2">
                  <c:v>F3</c:v>
                </c:pt>
              </c:strCache>
            </c:strRef>
          </c:cat>
          <c:val>
            <c:numRef>
              <c:f>Feuil1!$N$22:$P$22</c:f>
              <c:numCache>
                <c:formatCode>General</c:formatCode>
                <c:ptCount val="3"/>
                <c:pt idx="0">
                  <c:v>0.49400000000000038</c:v>
                </c:pt>
                <c:pt idx="1">
                  <c:v>0.47700000000000031</c:v>
                </c:pt>
                <c:pt idx="2">
                  <c:v>0.48400000000000032</c:v>
                </c:pt>
              </c:numCache>
            </c:numRef>
          </c:val>
        </c:ser>
        <c:shape val="box"/>
        <c:axId val="163809920"/>
        <c:axId val="164184448"/>
        <c:axId val="0"/>
      </c:bar3DChart>
      <c:catAx>
        <c:axId val="163809920"/>
        <c:scaling>
          <c:orientation val="minMax"/>
        </c:scaling>
        <c:axPos val="b"/>
        <c:tickLblPos val="nextTo"/>
        <c:crossAx val="164184448"/>
        <c:crosses val="autoZero"/>
        <c:auto val="1"/>
        <c:lblAlgn val="ctr"/>
        <c:lblOffset val="100"/>
      </c:catAx>
      <c:valAx>
        <c:axId val="164184448"/>
        <c:scaling>
          <c:orientation val="minMax"/>
        </c:scaling>
        <c:axPos val="l"/>
        <c:majorGridlines/>
        <c:numFmt formatCode="General" sourceLinked="1"/>
        <c:tickLblPos val="nextTo"/>
        <c:crossAx val="163809920"/>
        <c:crosses val="autoZero"/>
        <c:crossBetween val="between"/>
      </c:valAx>
    </c:plotArea>
    <c:legend>
      <c:legendPos val="r"/>
    </c:legend>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manualLayout>
          <c:layoutTarget val="inner"/>
          <c:xMode val="edge"/>
          <c:yMode val="edge"/>
          <c:x val="9.1419072615923011E-2"/>
          <c:y val="0.20869240303295444"/>
          <c:w val="0.69290179352581094"/>
          <c:h val="0.65482210557013765"/>
        </c:manualLayout>
      </c:layout>
      <c:bar3DChart>
        <c:barDir val="col"/>
        <c:grouping val="clustered"/>
        <c:ser>
          <c:idx val="0"/>
          <c:order val="0"/>
          <c:tx>
            <c:strRef>
              <c:f>Feuil1!$M$25</c:f>
              <c:strCache>
                <c:ptCount val="1"/>
                <c:pt idx="0">
                  <c:v>taux de TG</c:v>
                </c:pt>
              </c:strCache>
            </c:strRef>
          </c:tx>
          <c:spPr>
            <a:solidFill>
              <a:srgbClr val="FF33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Feuil1!$N$24:$P$24</c:f>
              <c:strCache>
                <c:ptCount val="3"/>
                <c:pt idx="0">
                  <c:v>F0/1</c:v>
                </c:pt>
                <c:pt idx="1">
                  <c:v>F2</c:v>
                </c:pt>
                <c:pt idx="2">
                  <c:v>F3</c:v>
                </c:pt>
              </c:strCache>
            </c:strRef>
          </c:cat>
          <c:val>
            <c:numRef>
              <c:f>Feuil1!$N$25:$P$25</c:f>
              <c:numCache>
                <c:formatCode>General</c:formatCode>
                <c:ptCount val="3"/>
                <c:pt idx="0">
                  <c:v>0.95000000000000062</c:v>
                </c:pt>
                <c:pt idx="1">
                  <c:v>0.77000000000000179</c:v>
                </c:pt>
                <c:pt idx="2">
                  <c:v>0.9</c:v>
                </c:pt>
              </c:numCache>
            </c:numRef>
          </c:val>
        </c:ser>
        <c:shape val="box"/>
        <c:axId val="164193024"/>
        <c:axId val="164194560"/>
        <c:axId val="0"/>
      </c:bar3DChart>
      <c:catAx>
        <c:axId val="164193024"/>
        <c:scaling>
          <c:orientation val="minMax"/>
        </c:scaling>
        <c:axPos val="b"/>
        <c:tickLblPos val="nextTo"/>
        <c:crossAx val="164194560"/>
        <c:crosses val="autoZero"/>
        <c:auto val="1"/>
        <c:lblAlgn val="ctr"/>
        <c:lblOffset val="100"/>
      </c:catAx>
      <c:valAx>
        <c:axId val="164194560"/>
        <c:scaling>
          <c:orientation val="minMax"/>
        </c:scaling>
        <c:axPos val="l"/>
        <c:majorGridlines/>
        <c:numFmt formatCode="General" sourceLinked="1"/>
        <c:tickLblPos val="nextTo"/>
        <c:crossAx val="164193024"/>
        <c:crosses val="autoZero"/>
        <c:crossBetween val="between"/>
      </c:valAx>
    </c:plotArea>
    <c:legend>
      <c:legendPos val="r"/>
    </c:legend>
    <c:plotVisOnly val="1"/>
    <c:dispBlanksAs val="gap"/>
  </c:chart>
  <c:externalData r:id="rId1"/>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25.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7.png"/></Relationships>
</file>

<file path=word/drawings/drawing1.xml><?xml version="1.0" encoding="utf-8"?>
<c:userShapes xmlns:c="http://schemas.openxmlformats.org/drawingml/2006/chart">
  <cdr:relSizeAnchor xmlns:cdr="http://schemas.openxmlformats.org/drawingml/2006/chartDrawing">
    <cdr:from>
      <cdr:x>0.26813</cdr:x>
      <cdr:y>0.3663</cdr:y>
    </cdr:from>
    <cdr:to>
      <cdr:x>0.37582</cdr:x>
      <cdr:y>0.44689</cdr:y>
    </cdr:to>
    <cdr:sp macro="" textlink="">
      <cdr:nvSpPr>
        <cdr:cNvPr id="2" name="Rectangle 1"/>
        <cdr:cNvSpPr/>
      </cdr:nvSpPr>
      <cdr:spPr>
        <a:xfrm xmlns:a="http://schemas.openxmlformats.org/drawingml/2006/main">
          <a:off x="1225899" y="1004835"/>
          <a:ext cx="492370" cy="2210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050" b="1">
              <a:solidFill>
                <a:sysClr val="windowText" lastClr="000000"/>
              </a:solidFill>
              <a:latin typeface="Times New Roman" pitchFamily="18" charset="0"/>
              <a:cs typeface="Times New Roman" pitchFamily="18" charset="0"/>
            </a:rPr>
            <a:t>31%</a:t>
          </a:r>
        </a:p>
      </cdr:txBody>
    </cdr:sp>
  </cdr:relSizeAnchor>
  <cdr:relSizeAnchor xmlns:cdr="http://schemas.openxmlformats.org/drawingml/2006/chartDrawing">
    <cdr:from>
      <cdr:x>0.53858</cdr:x>
      <cdr:y>0.03317</cdr:y>
    </cdr:from>
    <cdr:to>
      <cdr:x>0.64628</cdr:x>
      <cdr:y>0.11376</cdr:y>
    </cdr:to>
    <cdr:sp macro="" textlink="">
      <cdr:nvSpPr>
        <cdr:cNvPr id="3" name="Rectangle 2"/>
        <cdr:cNvSpPr/>
      </cdr:nvSpPr>
      <cdr:spPr>
        <a:xfrm xmlns:a="http://schemas.openxmlformats.org/drawingml/2006/main">
          <a:off x="2462404" y="90993"/>
          <a:ext cx="492370" cy="2210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050" b="1">
              <a:solidFill>
                <a:sysClr val="windowText" lastClr="000000"/>
              </a:solidFill>
              <a:latin typeface="Times New Roman" pitchFamily="18" charset="0"/>
              <a:cs typeface="Times New Roman" pitchFamily="18" charset="0"/>
            </a:rPr>
            <a:t>69%</a:t>
          </a:r>
        </a:p>
      </cdr:txBody>
    </cdr:sp>
  </cdr:relSizeAnchor>
</c:userShapes>
</file>

<file path=word/drawings/drawing2.xml><?xml version="1.0" encoding="utf-8"?>
<c:userShapes xmlns:c="http://schemas.openxmlformats.org/drawingml/2006/chart">
  <cdr:relSizeAnchor xmlns:cdr="http://schemas.openxmlformats.org/drawingml/2006/chartDrawing">
    <cdr:from>
      <cdr:x>0.22994</cdr:x>
      <cdr:y>0.58808</cdr:y>
    </cdr:from>
    <cdr:to>
      <cdr:x>0.33394</cdr:x>
      <cdr:y>0.67966</cdr:y>
    </cdr:to>
    <cdr:sp macro="" textlink="">
      <cdr:nvSpPr>
        <cdr:cNvPr id="2" name="Rectangle 1"/>
        <cdr:cNvSpPr/>
      </cdr:nvSpPr>
      <cdr:spPr>
        <a:xfrm xmlns:a="http://schemas.openxmlformats.org/drawingml/2006/main">
          <a:off x="1156419" y="1456755"/>
          <a:ext cx="523037" cy="22685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050" b="1">
              <a:solidFill>
                <a:sysClr val="windowText" lastClr="000000"/>
              </a:solidFill>
              <a:latin typeface="Times New Roman" pitchFamily="18" charset="0"/>
              <a:cs typeface="Times New Roman" pitchFamily="18" charset="0"/>
            </a:rPr>
            <a:t>12%</a:t>
          </a:r>
        </a:p>
      </cdr:txBody>
    </cdr:sp>
  </cdr:relSizeAnchor>
  <cdr:relSizeAnchor xmlns:cdr="http://schemas.openxmlformats.org/drawingml/2006/chartDrawing">
    <cdr:from>
      <cdr:x>0.46663</cdr:x>
      <cdr:y>0.12402</cdr:y>
    </cdr:from>
    <cdr:to>
      <cdr:x>0.57664</cdr:x>
      <cdr:y>0.22293</cdr:y>
    </cdr:to>
    <cdr:sp macro="" textlink="">
      <cdr:nvSpPr>
        <cdr:cNvPr id="3" name="Rectangle 2"/>
        <cdr:cNvSpPr/>
      </cdr:nvSpPr>
      <cdr:spPr>
        <a:xfrm xmlns:a="http://schemas.openxmlformats.org/drawingml/2006/main">
          <a:off x="2346755" y="307219"/>
          <a:ext cx="553262" cy="2450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050" b="1">
              <a:solidFill>
                <a:sysClr val="windowText" lastClr="000000"/>
              </a:solidFill>
              <a:latin typeface="Times New Roman" pitchFamily="18" charset="0"/>
              <a:cs typeface="Times New Roman" pitchFamily="18" charset="0"/>
            </a:rPr>
            <a:t>49%</a:t>
          </a:r>
        </a:p>
      </cdr:txBody>
    </cdr:sp>
  </cdr:relSizeAnchor>
  <cdr:relSizeAnchor xmlns:cdr="http://schemas.openxmlformats.org/drawingml/2006/chartDrawing">
    <cdr:from>
      <cdr:x>0.70378</cdr:x>
      <cdr:y>0.23809</cdr:y>
    </cdr:from>
    <cdr:to>
      <cdr:x>0.79778</cdr:x>
      <cdr:y>0.33333</cdr:y>
    </cdr:to>
    <cdr:sp macro="" textlink="">
      <cdr:nvSpPr>
        <cdr:cNvPr id="4" name="Rectangle 3"/>
        <cdr:cNvSpPr/>
      </cdr:nvSpPr>
      <cdr:spPr>
        <a:xfrm xmlns:a="http://schemas.openxmlformats.org/drawingml/2006/main">
          <a:off x="3539438" y="589780"/>
          <a:ext cx="472745" cy="2359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050" b="1">
              <a:solidFill>
                <a:sysClr val="windowText" lastClr="000000"/>
              </a:solidFill>
              <a:latin typeface="Times New Roman" pitchFamily="18" charset="0"/>
              <a:cs typeface="Times New Roman" pitchFamily="18" charset="0"/>
            </a:rPr>
            <a:t>39%</a:t>
          </a:r>
        </a:p>
      </cdr:txBody>
    </cdr:sp>
  </cdr:relSizeAnchor>
</c:userShapes>
</file>

<file path=word/drawings/drawing3.xml><?xml version="1.0" encoding="utf-8"?>
<c:userShapes xmlns:c="http://schemas.openxmlformats.org/drawingml/2006/chart">
  <cdr:relSizeAnchor xmlns:cdr="http://schemas.openxmlformats.org/drawingml/2006/chartDrawing">
    <cdr:from>
      <cdr:x>0.74366</cdr:x>
      <cdr:y>0.03261</cdr:y>
    </cdr:from>
    <cdr:to>
      <cdr:x>0.92844</cdr:x>
      <cdr:y>0.14493</cdr:y>
    </cdr:to>
    <cdr:sp macro="" textlink="">
      <cdr:nvSpPr>
        <cdr:cNvPr id="2" name="Rectangle 1"/>
        <cdr:cNvSpPr/>
      </cdr:nvSpPr>
      <cdr:spPr>
        <a:xfrm xmlns:a="http://schemas.openxmlformats.org/drawingml/2006/main">
          <a:off x="3400011" y="89452"/>
          <a:ext cx="844826" cy="30811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100" smtClean="0">
              <a:solidFill>
                <a:schemeClr val="lt1"/>
              </a:solidFill>
              <a:latin typeface="+mn-lt"/>
              <a:ea typeface="+mn-ea"/>
              <a:cs typeface="+mn-cs"/>
            </a:rPr>
            <a:t> </a:t>
          </a:r>
          <a:r>
            <a:rPr lang="fr-FR" sz="1200" b="1" smtClean="0">
              <a:solidFill>
                <a:srgbClr val="00B050"/>
              </a:solidFill>
              <a:latin typeface="Times New Roman" pitchFamily="18" charset="0"/>
              <a:ea typeface="+mn-ea"/>
              <a:cs typeface="Times New Roman" pitchFamily="18" charset="0"/>
            </a:rPr>
            <a:t>p = 0,806</a:t>
          </a:r>
        </a:p>
      </cdr:txBody>
    </cdr:sp>
  </cdr:relSizeAnchor>
</c:userShapes>
</file>

<file path=word/drawings/drawing4.xml><?xml version="1.0" encoding="utf-8"?>
<c:userShapes xmlns:c="http://schemas.openxmlformats.org/drawingml/2006/chart">
  <cdr:relSizeAnchor xmlns:cdr="http://schemas.openxmlformats.org/drawingml/2006/chartDrawing">
    <cdr:from>
      <cdr:x>0.78953</cdr:x>
      <cdr:y>0.03704</cdr:y>
    </cdr:from>
    <cdr:to>
      <cdr:x>0.95888</cdr:x>
      <cdr:y>0.14594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609731" y="101600"/>
          <a:ext cx="774259" cy="29873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0.80769</cdr:x>
      <cdr:y>0.01923</cdr:y>
    </cdr:from>
    <cdr:to>
      <cdr:x>0.97704</cdr:x>
      <cdr:y>0.12813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692770" y="52754"/>
          <a:ext cx="774259" cy="29873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0.77885</cdr:x>
      <cdr:y>0.02244</cdr:y>
    </cdr:from>
    <cdr:to>
      <cdr:x>0.94819</cdr:x>
      <cdr:y>0.13133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60884" y="61547"/>
          <a:ext cx="774259" cy="298730"/>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2AC29-D914-4C73-8EB5-B247E8012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88</Pages>
  <Words>18305</Words>
  <Characters>100681</Characters>
  <Application>Microsoft Office Word</Application>
  <DocSecurity>0</DocSecurity>
  <Lines>839</Lines>
  <Paragraphs>237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10</cp:revision>
  <dcterms:created xsi:type="dcterms:W3CDTF">2016-05-27T12:20:00Z</dcterms:created>
  <dcterms:modified xsi:type="dcterms:W3CDTF">2016-06-15T04:24:00Z</dcterms:modified>
</cp:coreProperties>
</file>