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8C6" w:rsidRPr="00B207D3" w:rsidRDefault="009648C6" w:rsidP="009648C6">
      <w:pPr>
        <w:bidi/>
        <w:spacing w:after="120" w:line="240" w:lineRule="auto"/>
        <w:rPr>
          <w:rFonts w:ascii="Simplified Arabic" w:hAnsi="Simplified Arabic" w:cs="Simplified Arabic"/>
          <w:b/>
          <w:bCs/>
          <w:color w:val="050505"/>
          <w:sz w:val="28"/>
          <w:szCs w:val="28"/>
          <w:rtl/>
          <w:lang w:bidi="ar-DZ"/>
        </w:rPr>
      </w:pPr>
      <w:r>
        <w:rPr>
          <w:rFonts w:ascii="Simplified Arabic" w:hAnsi="Simplified Arabic" w:cs="Simplified Arabic" w:hint="cs"/>
          <w:b/>
          <w:bCs/>
          <w:noProof/>
          <w:color w:val="050505"/>
          <w:sz w:val="28"/>
          <w:szCs w:val="28"/>
          <w:rtl/>
        </w:rPr>
        <mc:AlternateContent>
          <mc:Choice Requires="wps">
            <w:drawing>
              <wp:anchor distT="0" distB="0" distL="114300" distR="114300" simplePos="0" relativeHeight="251659264" behindDoc="0" locked="0" layoutInCell="1" allowOverlap="1" wp14:anchorId="4F64775E" wp14:editId="5C442990">
                <wp:simplePos x="0" y="0"/>
                <wp:positionH relativeFrom="column">
                  <wp:posOffset>-215123</wp:posOffset>
                </wp:positionH>
                <wp:positionV relativeFrom="paragraph">
                  <wp:posOffset>-354521</wp:posOffset>
                </wp:positionV>
                <wp:extent cx="6469039" cy="4763069"/>
                <wp:effectExtent l="19050" t="0" r="46355" b="2762250"/>
                <wp:wrapNone/>
                <wp:docPr id="244" name="مستطيل مستدير الزوايا 244"/>
                <wp:cNvGraphicFramePr/>
                <a:graphic xmlns:a="http://schemas.openxmlformats.org/drawingml/2006/main">
                  <a:graphicData uri="http://schemas.microsoft.com/office/word/2010/wordprocessingShape">
                    <wps:wsp>
                      <wps:cNvSpPr/>
                      <wps:spPr>
                        <a:xfrm>
                          <a:off x="0" y="0"/>
                          <a:ext cx="6469039" cy="4763069"/>
                        </a:xfrm>
                        <a:prstGeom prst="roundRect">
                          <a:avLst/>
                        </a:prstGeom>
                        <a:noFill/>
                        <a:ln>
                          <a:solidFill>
                            <a:schemeClr val="tx1"/>
                          </a:solidFill>
                        </a:ln>
                        <a:effectLst>
                          <a:reflection blurRad="6350" stA="50000" endA="300" endPos="55500" dist="508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244" o:spid="_x0000_s1026" style="position:absolute;margin-left:-16.95pt;margin-top:-27.9pt;width:509.35pt;height:37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" filled="f" strokecolor="black [3213]" strokeweight="2pt"/>
            </w:pict>
          </mc:Fallback>
        </mc:AlternateContent>
      </w:r>
      <w:r>
        <w:rPr>
          <w:rFonts w:ascii="Simplified Arabic" w:hAnsi="Simplified Arabic" w:cs="Simplified Arabic" w:hint="cs"/>
          <w:b/>
          <w:bCs/>
          <w:color w:val="050505"/>
          <w:sz w:val="28"/>
          <w:szCs w:val="28"/>
          <w:rtl/>
          <w:lang w:bidi="ar-DZ"/>
        </w:rPr>
        <w:t>الملخـــ</w:t>
      </w:r>
      <w:r w:rsidRPr="00B207D3">
        <w:rPr>
          <w:rFonts w:ascii="Simplified Arabic" w:hAnsi="Simplified Arabic" w:cs="Simplified Arabic" w:hint="cs"/>
          <w:b/>
          <w:bCs/>
          <w:color w:val="050505"/>
          <w:sz w:val="28"/>
          <w:szCs w:val="28"/>
          <w:rtl/>
          <w:lang w:bidi="ar-DZ"/>
        </w:rPr>
        <w:t>ـص</w:t>
      </w:r>
      <w:r>
        <w:rPr>
          <w:rFonts w:ascii="Simplified Arabic" w:hAnsi="Simplified Arabic" w:cs="Simplified Arabic" w:hint="cs"/>
          <w:b/>
          <w:bCs/>
          <w:color w:val="050505"/>
          <w:sz w:val="28"/>
          <w:szCs w:val="28"/>
          <w:rtl/>
          <w:lang w:bidi="ar-DZ"/>
        </w:rPr>
        <w:t>:</w:t>
      </w:r>
    </w:p>
    <w:p w:rsidR="009648C6" w:rsidRPr="00B207D3" w:rsidRDefault="009648C6" w:rsidP="009648C6">
      <w:pPr>
        <w:bidi/>
        <w:spacing w:after="120" w:line="240" w:lineRule="auto"/>
        <w:ind w:firstLine="567"/>
        <w:jc w:val="both"/>
        <w:rPr>
          <w:rFonts w:ascii="Simplified Arabic" w:hAnsi="Simplified Arabic" w:cs="Simplified Arabic"/>
          <w:color w:val="050505"/>
          <w:sz w:val="28"/>
          <w:szCs w:val="28"/>
          <w:rtl/>
          <w:lang w:bidi="ar-DZ"/>
        </w:rPr>
      </w:pPr>
      <w:r>
        <w:rPr>
          <w:rFonts w:ascii="Simplified Arabic" w:hAnsi="Simplified Arabic" w:cs="Simplified Arabic" w:hint="cs"/>
          <w:color w:val="050505"/>
          <w:sz w:val="28"/>
          <w:szCs w:val="28"/>
          <w:rtl/>
          <w:lang w:bidi="ar-DZ"/>
        </w:rPr>
        <w:t>تهدف هذه الدراسة</w:t>
      </w:r>
      <w:r w:rsidRPr="00B207D3">
        <w:rPr>
          <w:rFonts w:ascii="Simplified Arabic" w:hAnsi="Simplified Arabic" w:cs="Simplified Arabic" w:hint="cs"/>
          <w:color w:val="050505"/>
          <w:sz w:val="28"/>
          <w:szCs w:val="28"/>
          <w:rtl/>
          <w:lang w:bidi="ar-DZ"/>
        </w:rPr>
        <w:t xml:space="preserve"> إلى معرفة أثر جائحة كوفيد-19 على المردودية المالية للمؤسسات الاقتصادية، و</w:t>
      </w:r>
      <w:r>
        <w:rPr>
          <w:rFonts w:ascii="Simplified Arabic" w:hAnsi="Simplified Arabic" w:cs="Simplified Arabic" w:hint="cs"/>
          <w:color w:val="050505"/>
          <w:sz w:val="28"/>
          <w:szCs w:val="28"/>
          <w:rtl/>
          <w:lang w:bidi="ar-DZ"/>
        </w:rPr>
        <w:t xml:space="preserve"> ذلك بالاعتماد على أسلوب دراسة الحالة بالتطبيق و</w:t>
      </w:r>
      <w:r w:rsidRPr="00B207D3">
        <w:rPr>
          <w:rFonts w:ascii="Simplified Arabic" w:hAnsi="Simplified Arabic" w:cs="Simplified Arabic" w:hint="cs"/>
          <w:color w:val="050505"/>
          <w:sz w:val="28"/>
          <w:szCs w:val="28"/>
          <w:rtl/>
          <w:lang w:bidi="ar-DZ"/>
        </w:rPr>
        <w:t xml:space="preserve"> تم اسقاط الدراسة على مؤست</w:t>
      </w:r>
      <w:r>
        <w:rPr>
          <w:rFonts w:ascii="Simplified Arabic" w:hAnsi="Simplified Arabic" w:cs="Simplified Arabic" w:hint="cs"/>
          <w:color w:val="050505"/>
          <w:sz w:val="28"/>
          <w:szCs w:val="28"/>
          <w:rtl/>
          <w:lang w:bidi="ar-DZ"/>
        </w:rPr>
        <w:t>ت</w:t>
      </w:r>
      <w:r w:rsidRPr="00B207D3">
        <w:rPr>
          <w:rFonts w:ascii="Simplified Arabic" w:hAnsi="Simplified Arabic" w:cs="Simplified Arabic" w:hint="cs"/>
          <w:color w:val="050505"/>
          <w:sz w:val="28"/>
          <w:szCs w:val="28"/>
          <w:rtl/>
          <w:lang w:bidi="ar-DZ"/>
        </w:rPr>
        <w:t xml:space="preserve">ي نفطال- </w:t>
      </w:r>
      <w:r>
        <w:rPr>
          <w:rFonts w:ascii="Simplified Arabic" w:hAnsi="Simplified Arabic" w:cs="Simplified Arabic" w:hint="cs"/>
          <w:color w:val="050505"/>
          <w:sz w:val="28"/>
          <w:szCs w:val="28"/>
          <w:rtl/>
          <w:lang w:bidi="ar-DZ"/>
        </w:rPr>
        <w:t xml:space="preserve">مقاطعة </w:t>
      </w:r>
      <w:r w:rsidRPr="00B207D3">
        <w:rPr>
          <w:rFonts w:ascii="Simplified Arabic" w:hAnsi="Simplified Arabic" w:cs="Simplified Arabic" w:hint="cs"/>
          <w:color w:val="050505"/>
          <w:sz w:val="28"/>
          <w:szCs w:val="28"/>
          <w:rtl/>
          <w:lang w:bidi="ar-DZ"/>
        </w:rPr>
        <w:t xml:space="preserve">تبسة و مؤسسة اتصالات الجزائر- وكالة تبسة من خلال قياس المردودية المالية باستخدام مؤشرات متمثلة في النسب المالية، المردودية، أثر الرافعة المالية، وذلك خلال الفترة (2019-2021)، و لإبراز الأثر </w:t>
      </w:r>
      <w:r>
        <w:rPr>
          <w:rFonts w:ascii="Simplified Arabic" w:hAnsi="Simplified Arabic" w:cs="Simplified Arabic" w:hint="cs"/>
          <w:color w:val="050505"/>
          <w:sz w:val="28"/>
          <w:szCs w:val="28"/>
          <w:rtl/>
          <w:lang w:bidi="ar-DZ"/>
        </w:rPr>
        <w:t>تم اعتماد</w:t>
      </w:r>
      <w:r w:rsidRPr="00B207D3">
        <w:rPr>
          <w:rFonts w:ascii="Simplified Arabic" w:hAnsi="Simplified Arabic" w:cs="Simplified Arabic" w:hint="cs"/>
          <w:color w:val="050505"/>
          <w:sz w:val="28"/>
          <w:szCs w:val="28"/>
          <w:rtl/>
          <w:lang w:bidi="ar-DZ"/>
        </w:rPr>
        <w:t xml:space="preserve"> المنهج التحليلي المقارن لتقييم المردودية المالية للمؤسستين خلال فترة </w:t>
      </w:r>
      <w:r>
        <w:rPr>
          <w:rFonts w:ascii="Simplified Arabic" w:hAnsi="Simplified Arabic" w:cs="Simplified Arabic" w:hint="cs"/>
          <w:color w:val="050505"/>
          <w:sz w:val="28"/>
          <w:szCs w:val="28"/>
          <w:rtl/>
          <w:lang w:bidi="ar-DZ"/>
        </w:rPr>
        <w:t>جائحة</w:t>
      </w:r>
      <w:r w:rsidRPr="00B207D3">
        <w:rPr>
          <w:rFonts w:ascii="Simplified Arabic" w:hAnsi="Simplified Arabic" w:cs="Simplified Arabic" w:hint="cs"/>
          <w:color w:val="050505"/>
          <w:sz w:val="28"/>
          <w:szCs w:val="28"/>
          <w:rtl/>
          <w:lang w:bidi="ar-DZ"/>
        </w:rPr>
        <w:t xml:space="preserve"> كوفيد-19 و المقارنة بينهما.</w:t>
      </w:r>
    </w:p>
    <w:p w:rsidR="009648C6" w:rsidRDefault="009648C6" w:rsidP="009648C6">
      <w:pPr>
        <w:bidi/>
        <w:spacing w:after="120" w:line="240" w:lineRule="auto"/>
        <w:ind w:firstLine="567"/>
        <w:jc w:val="both"/>
        <w:rPr>
          <w:rFonts w:ascii="Simplified Arabic" w:hAnsi="Simplified Arabic" w:cs="Simplified Arabic"/>
          <w:b/>
          <w:bCs/>
          <w:color w:val="050505"/>
          <w:sz w:val="28"/>
          <w:szCs w:val="28"/>
          <w:rtl/>
          <w:lang w:bidi="ar-DZ"/>
        </w:rPr>
      </w:pPr>
      <w:r w:rsidRPr="00B207D3">
        <w:rPr>
          <w:rFonts w:ascii="Simplified Arabic" w:hAnsi="Simplified Arabic" w:cs="Simplified Arabic" w:hint="cs"/>
          <w:color w:val="050505"/>
          <w:sz w:val="28"/>
          <w:szCs w:val="28"/>
          <w:rtl/>
          <w:lang w:bidi="ar-DZ"/>
        </w:rPr>
        <w:t xml:space="preserve">و توصلت الدراسة إلى أن الجائحة أثرت بشكل سلبي على المردودية المالية لمقاطعة نفطال- بولاية تبسة و هذا راجع إلى </w:t>
      </w:r>
      <w:r>
        <w:rPr>
          <w:rFonts w:ascii="Simplified Arabic" w:hAnsi="Simplified Arabic" w:cs="Simplified Arabic" w:hint="cs"/>
          <w:color w:val="050505"/>
          <w:sz w:val="28"/>
          <w:szCs w:val="28"/>
          <w:rtl/>
          <w:lang w:bidi="ar-DZ"/>
        </w:rPr>
        <w:t>اعتمادها على الطرق التقليدية في التحصيل مما أدى الى انخفاض ايراداتها، مع الزيادة في أصولها الصافية و ديونها المالية، و خلال نفس الفترة</w:t>
      </w:r>
      <w:r w:rsidRPr="00B207D3">
        <w:rPr>
          <w:rFonts w:ascii="Simplified Arabic" w:hAnsi="Simplified Arabic" w:cs="Simplified Arabic" w:hint="cs"/>
          <w:color w:val="050505"/>
          <w:sz w:val="28"/>
          <w:szCs w:val="28"/>
          <w:rtl/>
          <w:lang w:bidi="ar-DZ"/>
        </w:rPr>
        <w:t xml:space="preserve"> أثرت بشكل ايجابي على المردودية المالية لمؤسسة اتصالات الجزائر-</w:t>
      </w:r>
      <w:r>
        <w:rPr>
          <w:rFonts w:ascii="Simplified Arabic" w:hAnsi="Simplified Arabic" w:cs="Simplified Arabic" w:hint="cs"/>
          <w:color w:val="050505"/>
          <w:sz w:val="28"/>
          <w:szCs w:val="28"/>
          <w:rtl/>
          <w:lang w:bidi="ar-DZ"/>
        </w:rPr>
        <w:t xml:space="preserve"> لولاية تبسة و هذا بالنظر الى اعتمادها على الطرق الحديثة في تحصيل ديونها و انتهاجها أسلوب الحوسبة السحابية في التسيير.</w:t>
      </w:r>
    </w:p>
    <w:p w:rsidR="009648C6" w:rsidRDefault="009648C6" w:rsidP="009648C6">
      <w:pPr>
        <w:bidi/>
        <w:spacing w:after="120" w:line="240" w:lineRule="auto"/>
        <w:jc w:val="both"/>
        <w:rPr>
          <w:rFonts w:ascii="Simplified Arabic" w:hAnsi="Simplified Arabic" w:cs="Simplified Arabic"/>
          <w:b/>
          <w:bCs/>
          <w:color w:val="050505"/>
          <w:sz w:val="28"/>
          <w:szCs w:val="28"/>
          <w:rtl/>
          <w:lang w:bidi="ar-DZ"/>
        </w:rPr>
      </w:pPr>
      <w:r w:rsidRPr="008F6A93">
        <w:rPr>
          <w:rFonts w:ascii="Simplified Arabic" w:hAnsi="Simplified Arabic" w:cs="Simplified Arabic" w:hint="cs"/>
          <w:b/>
          <w:bCs/>
          <w:color w:val="050505"/>
          <w:kern w:val="28"/>
          <w:position w:val="6"/>
          <w:sz w:val="28"/>
          <w:szCs w:val="28"/>
          <w:u w:val="single"/>
          <w:rtl/>
          <w:lang w:bidi="ar-DZ"/>
        </w:rPr>
        <w:t>الكلمات</w:t>
      </w:r>
      <w:r w:rsidRPr="008F6A93">
        <w:rPr>
          <w:rFonts w:ascii="Simplified Arabic" w:hAnsi="Simplified Arabic" w:cs="Simplified Arabic" w:hint="cs"/>
          <w:b/>
          <w:bCs/>
          <w:color w:val="050505"/>
          <w:kern w:val="28"/>
          <w:sz w:val="28"/>
          <w:szCs w:val="28"/>
          <w:u w:val="single"/>
          <w:rtl/>
          <w:lang w:bidi="ar-DZ"/>
        </w:rPr>
        <w:t xml:space="preserve"> </w:t>
      </w:r>
      <w:r w:rsidRPr="008F6A93">
        <w:rPr>
          <w:rFonts w:ascii="Simplified Arabic" w:hAnsi="Simplified Arabic" w:cs="Simplified Arabic" w:hint="cs"/>
          <w:b/>
          <w:bCs/>
          <w:color w:val="050505"/>
          <w:kern w:val="28"/>
          <w:position w:val="6"/>
          <w:sz w:val="28"/>
          <w:szCs w:val="28"/>
          <w:u w:val="single"/>
          <w:rtl/>
          <w:lang w:bidi="ar-DZ"/>
        </w:rPr>
        <w:t>المفتاحية</w:t>
      </w:r>
      <w:r w:rsidRPr="008F6A93">
        <w:rPr>
          <w:rFonts w:ascii="Simplified Arabic" w:hAnsi="Simplified Arabic" w:cs="Simplified Arabic" w:hint="cs"/>
          <w:b/>
          <w:bCs/>
          <w:color w:val="050505"/>
          <w:sz w:val="28"/>
          <w:szCs w:val="28"/>
          <w:rtl/>
          <w:lang w:bidi="ar-DZ"/>
        </w:rPr>
        <w:t>:</w:t>
      </w:r>
      <w:r>
        <w:rPr>
          <w:rFonts w:ascii="Simplified Arabic" w:hAnsi="Simplified Arabic" w:cs="Simplified Arabic" w:hint="cs"/>
          <w:b/>
          <w:bCs/>
          <w:color w:val="050505"/>
          <w:sz w:val="28"/>
          <w:szCs w:val="28"/>
          <w:rtl/>
          <w:lang w:bidi="ar-DZ"/>
        </w:rPr>
        <w:t xml:space="preserve"> </w:t>
      </w:r>
      <w:r w:rsidRPr="00C20319">
        <w:rPr>
          <w:rFonts w:asciiTheme="majorBidi" w:hAnsiTheme="majorBidi" w:cs="Simplified Arabic"/>
          <w:b/>
          <w:bCs/>
          <w:color w:val="050505"/>
          <w:sz w:val="28"/>
          <w:szCs w:val="28"/>
          <w:rtl/>
          <w:lang w:bidi="ar-DZ"/>
        </w:rPr>
        <w:t>الأداء المالي، المردودية المالية</w:t>
      </w:r>
      <w:r>
        <w:rPr>
          <w:rFonts w:ascii="Simplified Arabic" w:hAnsi="Simplified Arabic" w:cs="Simplified Arabic" w:hint="cs"/>
          <w:b/>
          <w:bCs/>
          <w:color w:val="050505"/>
          <w:sz w:val="28"/>
          <w:szCs w:val="28"/>
          <w:rtl/>
          <w:lang w:bidi="ar-DZ"/>
        </w:rPr>
        <w:t>، الرافعة المالية، كوفيد-19.</w:t>
      </w:r>
    </w:p>
    <w:p w:rsidR="009648C6" w:rsidRDefault="009648C6" w:rsidP="009648C6">
      <w:pPr>
        <w:tabs>
          <w:tab w:val="left" w:pos="2536"/>
        </w:tabs>
        <w:spacing w:after="120" w:line="240" w:lineRule="auto"/>
        <w:jc w:val="both"/>
        <w:rPr>
          <w:rFonts w:asciiTheme="majorBidi" w:hAnsiTheme="majorBidi" w:cstheme="majorBidi"/>
          <w:b/>
          <w:bCs/>
          <w:color w:val="050505"/>
          <w:sz w:val="28"/>
          <w:szCs w:val="28"/>
          <w:lang w:bidi="ar-DZ"/>
        </w:rPr>
      </w:pPr>
      <w:r>
        <w:rPr>
          <w:rFonts w:asciiTheme="majorBidi" w:hAnsiTheme="majorBidi" w:cstheme="majorBidi"/>
          <w:b/>
          <w:bCs/>
          <w:color w:val="050505"/>
          <w:sz w:val="28"/>
          <w:szCs w:val="28"/>
          <w:lang w:bidi="ar-DZ"/>
        </w:rPr>
        <w:tab/>
      </w:r>
    </w:p>
    <w:p w:rsidR="009648C6" w:rsidRDefault="009648C6" w:rsidP="009648C6">
      <w:pPr>
        <w:tabs>
          <w:tab w:val="left" w:pos="2536"/>
        </w:tabs>
        <w:spacing w:after="120" w:line="240" w:lineRule="auto"/>
        <w:jc w:val="both"/>
        <w:rPr>
          <w:rFonts w:asciiTheme="majorBidi" w:hAnsiTheme="majorBidi" w:cstheme="majorBidi"/>
          <w:b/>
          <w:bCs/>
          <w:color w:val="050505"/>
          <w:sz w:val="28"/>
          <w:szCs w:val="28"/>
          <w:lang w:bidi="ar-DZ"/>
        </w:rPr>
      </w:pPr>
    </w:p>
    <w:p w:rsidR="009648C6" w:rsidRDefault="009648C6" w:rsidP="009648C6">
      <w:pPr>
        <w:spacing w:after="120" w:line="240" w:lineRule="auto"/>
        <w:jc w:val="both"/>
        <w:rPr>
          <w:rFonts w:asciiTheme="majorBidi" w:hAnsiTheme="majorBidi" w:cstheme="majorBidi"/>
          <w:b/>
          <w:bCs/>
          <w:color w:val="050505"/>
          <w:sz w:val="28"/>
          <w:szCs w:val="28"/>
          <w:rtl/>
          <w:lang w:bidi="ar-DZ"/>
        </w:rPr>
      </w:pPr>
      <w:r w:rsidRPr="008B7A05">
        <w:rPr>
          <w:rFonts w:asciiTheme="majorBidi" w:hAnsiTheme="majorBidi" w:cstheme="majorBidi"/>
          <w:b/>
          <w:bCs/>
          <w:color w:val="050505"/>
          <w:sz w:val="28"/>
          <w:szCs w:val="28"/>
          <w:lang w:bidi="ar-DZ"/>
        </w:rPr>
        <w:t>Abstract:</w:t>
      </w:r>
    </w:p>
    <w:p w:rsidR="009648C6" w:rsidRPr="00B2299C" w:rsidRDefault="009648C6" w:rsidP="009648C6">
      <w:pPr>
        <w:spacing w:after="120" w:line="240" w:lineRule="auto"/>
        <w:ind w:firstLine="567"/>
        <w:jc w:val="both"/>
        <w:rPr>
          <w:rFonts w:asciiTheme="majorBidi" w:hAnsiTheme="majorBidi" w:cstheme="majorBidi"/>
          <w:color w:val="050505"/>
          <w:sz w:val="24"/>
          <w:szCs w:val="24"/>
          <w:lang w:val="en-ZA" w:bidi="ar-DZ"/>
        </w:rPr>
      </w:pPr>
      <w:r w:rsidRPr="00B2299C">
        <w:rPr>
          <w:rFonts w:asciiTheme="majorBidi" w:hAnsiTheme="majorBidi" w:cstheme="majorBidi"/>
          <w:color w:val="050505"/>
          <w:sz w:val="24"/>
          <w:szCs w:val="24"/>
          <w:lang w:val="en-ZA" w:bidi="ar-DZ"/>
        </w:rPr>
        <w:t>This study aims to know the impact of the covid-19 pandemic on the financial profitability of economic institution, and this was done by relying on the method of case study by application, profitability, the impact of financial leverage, during the period (2019-2021), and to highlight the impact, the adoption of the comparative analytical approach to assess the financial profitability of the two institutions during the period of the covid-19 pandemic and the comparison between them.</w:t>
      </w:r>
    </w:p>
    <w:p w:rsidR="009648C6" w:rsidRPr="00B2299C" w:rsidRDefault="009648C6" w:rsidP="009648C6">
      <w:pPr>
        <w:spacing w:after="120" w:line="240" w:lineRule="auto"/>
        <w:ind w:firstLine="567"/>
        <w:jc w:val="both"/>
        <w:rPr>
          <w:rFonts w:asciiTheme="majorBidi" w:hAnsiTheme="majorBidi" w:cstheme="majorBidi"/>
          <w:color w:val="050505"/>
          <w:sz w:val="24"/>
          <w:szCs w:val="24"/>
          <w:lang w:val="en-ZA" w:bidi="ar-DZ"/>
        </w:rPr>
      </w:pPr>
      <w:r w:rsidRPr="00B2299C">
        <w:rPr>
          <w:rFonts w:asciiTheme="majorBidi" w:hAnsiTheme="majorBidi" w:cstheme="majorBidi"/>
          <w:color w:val="050505"/>
          <w:sz w:val="24"/>
          <w:szCs w:val="24"/>
          <w:lang w:val="en-ZA" w:bidi="ar-DZ"/>
        </w:rPr>
        <w:t xml:space="preserve">The study concluded that the pandemic had a negative impact on the financial profitability of the Naftal canton in the state of tebessa due to its dependence on traditional methods of collection, which led to a decrease in its revenues with an increase in its net assets and financial debts, while it positively affected the financial profitability of Algeria Telecom for the state of tebessa, to its reliance on modern methods of collecting its debts and its adoption of the cloud accounting method in management.    </w:t>
      </w:r>
    </w:p>
    <w:p w:rsidR="009648C6" w:rsidRPr="008B7A05" w:rsidRDefault="009648C6" w:rsidP="009648C6">
      <w:pPr>
        <w:spacing w:after="120" w:line="240" w:lineRule="auto"/>
        <w:jc w:val="both"/>
        <w:rPr>
          <w:rFonts w:asciiTheme="majorBidi" w:hAnsiTheme="majorBidi" w:cstheme="majorBidi"/>
          <w:b/>
          <w:bCs/>
          <w:color w:val="050505"/>
          <w:sz w:val="28"/>
          <w:szCs w:val="28"/>
          <w:rtl/>
          <w:lang w:bidi="ar-DZ"/>
        </w:rPr>
      </w:pPr>
      <w:r w:rsidRPr="008B7A05">
        <w:rPr>
          <w:rFonts w:asciiTheme="majorBidi" w:hAnsiTheme="majorBidi" w:cstheme="majorBidi"/>
          <w:b/>
          <w:bCs/>
          <w:color w:val="050505"/>
          <w:position w:val="6"/>
          <w:sz w:val="28"/>
          <w:szCs w:val="28"/>
          <w:u w:val="single"/>
        </w:rPr>
        <w:t>Keywords</w:t>
      </w:r>
      <w:r w:rsidRPr="00057932">
        <w:rPr>
          <w:rFonts w:asciiTheme="majorBidi" w:hAnsiTheme="majorBidi" w:cstheme="majorBidi"/>
          <w:b/>
          <w:bCs/>
          <w:color w:val="050505"/>
          <w:sz w:val="28"/>
          <w:szCs w:val="28"/>
        </w:rPr>
        <w:t>:</w:t>
      </w:r>
      <w:r w:rsidRPr="008B7A05">
        <w:rPr>
          <w:rFonts w:asciiTheme="majorBidi" w:hAnsiTheme="majorBidi" w:cstheme="majorBidi"/>
          <w:b/>
          <w:bCs/>
          <w:color w:val="050505"/>
          <w:sz w:val="28"/>
          <w:szCs w:val="28"/>
        </w:rPr>
        <w:t xml:space="preserve"> </w:t>
      </w:r>
      <w:r w:rsidRPr="002A79B1">
        <w:rPr>
          <w:rFonts w:asciiTheme="majorBidi" w:hAnsiTheme="majorBidi" w:cstheme="majorBidi"/>
          <w:b/>
          <w:bCs/>
          <w:color w:val="050505"/>
          <w:sz w:val="28"/>
          <w:szCs w:val="28"/>
        </w:rPr>
        <w:t>financial profitability, financial leverage,</w:t>
      </w:r>
      <w:r>
        <w:rPr>
          <w:rFonts w:asciiTheme="majorBidi" w:hAnsiTheme="majorBidi" w:cstheme="majorBidi"/>
          <w:b/>
          <w:bCs/>
          <w:color w:val="050505"/>
          <w:sz w:val="28"/>
          <w:szCs w:val="28"/>
        </w:rPr>
        <w:t xml:space="preserve"> financial</w:t>
      </w:r>
      <w:r>
        <w:rPr>
          <w:rFonts w:asciiTheme="majorBidi" w:hAnsiTheme="majorBidi" w:cstheme="majorBidi" w:hint="cs"/>
          <w:b/>
          <w:bCs/>
          <w:color w:val="050505"/>
          <w:sz w:val="28"/>
          <w:szCs w:val="28"/>
          <w:rtl/>
        </w:rPr>
        <w:t xml:space="preserve"> </w:t>
      </w:r>
      <w:r w:rsidRPr="002A79B1">
        <w:rPr>
          <w:rFonts w:asciiTheme="majorBidi" w:hAnsiTheme="majorBidi" w:cstheme="majorBidi"/>
          <w:b/>
          <w:bCs/>
          <w:color w:val="050505"/>
          <w:sz w:val="28"/>
          <w:szCs w:val="28"/>
        </w:rPr>
        <w:t>leverage, covid-19.</w:t>
      </w:r>
    </w:p>
    <w:p w:rsidR="009648C6" w:rsidRDefault="009648C6" w:rsidP="009648C6">
      <w:pPr>
        <w:bidi/>
        <w:rPr>
          <w:rFonts w:hint="cs"/>
        </w:rPr>
      </w:pPr>
      <w:bookmarkStart w:id="0" w:name="_GoBack"/>
      <w:bookmarkEnd w:id="0"/>
    </w:p>
    <w:sectPr w:rsidR="00964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C6"/>
    <w:rsid w:val="009648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8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8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545</dc:creator>
  <cp:lastModifiedBy>545</cp:lastModifiedBy>
  <cp:revision>1</cp:revision>
  <dcterms:created xsi:type="dcterms:W3CDTF">2022-06-25T10:23:00Z</dcterms:created>
  <dcterms:modified xsi:type="dcterms:W3CDTF">2022-06-25T10:25:00Z</dcterms:modified>
</cp:coreProperties>
</file>